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2016年经济发展局预算情况说明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lang w:val="en-US" w:eastAsia="zh-CN"/>
        </w:rPr>
        <w:t xml:space="preserve"> 一、2016年预算收入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lang w:val="en-US" w:eastAsia="zh-CN"/>
        </w:rPr>
        <w:t xml:space="preserve"> 2016年经济发展局预算收入6976.41万元，其中公共预算收入6979.41万元，政府性基金预算收入0元。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lang w:val="en-US" w:eastAsia="zh-CN"/>
        </w:rPr>
        <w:t xml:space="preserve"> 二、2016年预算支出</w:t>
      </w:r>
    </w:p>
    <w:p>
      <w:pPr>
        <w:ind w:firstLine="64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2016年经济发展局预算支出6976.41万元，其中基本支出100.66万元，项目支出6875.75万元。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项目支出明细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1.专项业务支出6875.75万元。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2016年3月10日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BB1"/>
    <w:multiLevelType w:val="singleLevel"/>
    <w:tmpl w:val="585A3BB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117173"/>
    <w:rsid w:val="5C983711"/>
    <w:rsid w:val="6B3663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2016-12-21T07:49:40Z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