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人事劳动局部门职责</w:t>
      </w:r>
    </w:p>
    <w:p>
      <w:pPr>
        <w:widowControl/>
        <w:topLinePunct/>
        <w:adjustRightInd w:val="0"/>
        <w:ind w:firstLine="604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topLinePunct/>
        <w:adjustRightInd w:val="0"/>
        <w:ind w:firstLine="60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负责全区组织建设、机构编制、人力资源和社会保障工作；负责高层次人才规划、培养、选拔、引进和服务工作；负责劳动管理、民生保障等工作；负责机关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事业单位的人员考察、培训、调配、工资福利、医疗待遇以及离退休人员管理等工作；</w:t>
      </w:r>
      <w:r>
        <w:rPr>
          <w:rFonts w:hint="eastAsia" w:ascii="仿宋_GB2312" w:eastAsia="仿宋_GB2312"/>
          <w:sz w:val="32"/>
          <w:szCs w:val="32"/>
          <w:lang w:eastAsia="zh-CN"/>
        </w:rPr>
        <w:t>负责校地合作平台建设；负责专业技术职称评审和申报工作；负责军转干部和退伍士兵安置工作；</w:t>
      </w:r>
      <w:r>
        <w:rPr>
          <w:rFonts w:hint="eastAsia" w:ascii="仿宋_GB2312" w:eastAsia="仿宋_GB2312"/>
          <w:sz w:val="32"/>
          <w:szCs w:val="32"/>
        </w:rPr>
        <w:t>负责贯彻落实老干部政策，做好离退休老干部工作等。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5"/>
    <w:rsid w:val="00CC7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2016-12-21T03:37:00Z</dcterms:created>
  <dc:creator>lenovo</dc:creator>
  <cp:lastModifiedBy>lenovo</cp:lastModifiedBy>
  <cp:lastPrinted>2016-12-21T03:37:43Z</cp:lastPrinted>
  <dcterms:modified xsi:type="dcterms:W3CDTF">2016-12-21T03:37:50Z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