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b/>
          <w:sz w:val="52"/>
          <w:lang w:eastAsia="zh-CN"/>
        </w:rPr>
      </w:pPr>
      <w:r>
        <w:rPr>
          <w:rFonts w:hint="eastAsia" w:ascii="Times New Roman" w:hAnsi="Times New Roman" w:eastAsia="宋体" w:cs="Times New Roman"/>
          <w:b/>
          <w:sz w:val="52"/>
          <w:lang w:eastAsia="zh-CN"/>
        </w:rPr>
        <w:drawing>
          <wp:inline distT="0" distB="0" distL="114300" distR="114300">
            <wp:extent cx="5444490" cy="7696200"/>
            <wp:effectExtent l="0" t="0" r="3810" b="0"/>
            <wp:docPr id="1" name="图片 1" descr="环评报告盖章扫描件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评报告盖章扫描件_页面_03"/>
                    <pic:cNvPicPr>
                      <a:picLocks noChangeAspect="1"/>
                    </pic:cNvPicPr>
                  </pic:nvPicPr>
                  <pic:blipFill>
                    <a:blip r:embed="rId5"/>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b/>
          <w:sz w:val="52"/>
          <w:lang w:eastAsia="zh-CN"/>
        </w:rPr>
      </w:pPr>
      <w:r>
        <w:rPr>
          <w:rFonts w:hint="eastAsia" w:ascii="Times New Roman" w:hAnsi="Times New Roman" w:eastAsia="宋体" w:cs="Times New Roman"/>
          <w:b/>
          <w:sz w:val="52"/>
          <w:lang w:eastAsia="zh-CN"/>
        </w:rPr>
        <w:br w:type="page"/>
      </w:r>
    </w:p>
    <w:p>
      <w:pPr>
        <w:jc w:val="center"/>
        <w:rPr>
          <w:rFonts w:hint="eastAsia" w:ascii="Times New Roman" w:hAnsi="Times New Roman" w:eastAsia="宋体" w:cs="Times New Roman"/>
          <w:b/>
          <w:sz w:val="52"/>
          <w:lang w:eastAsia="zh-CN"/>
        </w:rPr>
      </w:pPr>
      <w:bookmarkStart w:id="2" w:name="_GoBack"/>
      <w:r>
        <w:rPr>
          <w:rFonts w:hint="eastAsia" w:ascii="Times New Roman" w:hAnsi="Times New Roman" w:eastAsia="宋体" w:cs="Times New Roman"/>
          <w:b/>
          <w:sz w:val="52"/>
          <w:lang w:eastAsia="zh-CN"/>
        </w:rPr>
        <w:drawing>
          <wp:inline distT="0" distB="0" distL="114300" distR="114300">
            <wp:extent cx="5443855" cy="7695565"/>
            <wp:effectExtent l="0" t="0" r="4445" b="635"/>
            <wp:docPr id="15" name="图片 15" descr="C:\Users\007\Desktop\P4.jpg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007\Desktop\P4.jpgP4"/>
                    <pic:cNvPicPr>
                      <a:picLocks noChangeAspect="1"/>
                    </pic:cNvPicPr>
                  </pic:nvPicPr>
                  <pic:blipFill>
                    <a:blip r:embed="rId6"/>
                    <a:srcRect/>
                    <a:stretch>
                      <a:fillRect/>
                    </a:stretch>
                  </pic:blipFill>
                  <pic:spPr>
                    <a:xfrm>
                      <a:off x="0" y="0"/>
                      <a:ext cx="5443855" cy="7695565"/>
                    </a:xfrm>
                    <a:prstGeom prst="rect">
                      <a:avLst/>
                    </a:prstGeom>
                  </pic:spPr>
                </pic:pic>
              </a:graphicData>
            </a:graphic>
          </wp:inline>
        </w:drawing>
      </w:r>
      <w:bookmarkEnd w:id="2"/>
    </w:p>
    <w:p>
      <w:pPr>
        <w:rPr>
          <w:rFonts w:hint="eastAsia" w:ascii="Times New Roman" w:hAnsi="Times New Roman" w:eastAsia="宋体" w:cs="Times New Roman"/>
          <w:b/>
          <w:sz w:val="52"/>
          <w:lang w:eastAsia="zh-CN"/>
        </w:rPr>
      </w:pPr>
      <w:r>
        <w:rPr>
          <w:rFonts w:hint="eastAsia" w:ascii="Times New Roman" w:hAnsi="Times New Roman" w:eastAsia="宋体" w:cs="Times New Roman"/>
          <w:b/>
          <w:sz w:val="52"/>
          <w:lang w:eastAsia="zh-CN"/>
        </w:rPr>
        <w:br w:type="page"/>
      </w:r>
    </w:p>
    <w:p>
      <w:r>
        <w:drawing>
          <wp:anchor distT="0" distB="0" distL="114300" distR="114300" simplePos="0" relativeHeight="252473344" behindDoc="0" locked="0" layoutInCell="1" allowOverlap="1">
            <wp:simplePos x="0" y="0"/>
            <wp:positionH relativeFrom="column">
              <wp:posOffset>8890</wp:posOffset>
            </wp:positionH>
            <wp:positionV relativeFrom="paragraph">
              <wp:posOffset>8890</wp:posOffset>
            </wp:positionV>
            <wp:extent cx="5298440" cy="7491095"/>
            <wp:effectExtent l="0" t="0" r="10160" b="1905"/>
            <wp:wrapTopAndBottom/>
            <wp:docPr id="9" name="图片 9" descr="营业执照+环评注册盖章扫描件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营业执照+环评注册盖章扫描件_页面_2"/>
                    <pic:cNvPicPr>
                      <a:picLocks noChangeAspect="1"/>
                    </pic:cNvPicPr>
                  </pic:nvPicPr>
                  <pic:blipFill>
                    <a:blip r:embed="rId7"/>
                    <a:stretch>
                      <a:fillRect/>
                    </a:stretch>
                  </pic:blipFill>
                  <pic:spPr>
                    <a:xfrm flipH="1" flipV="1">
                      <a:off x="0" y="0"/>
                      <a:ext cx="5298440" cy="7491095"/>
                    </a:xfrm>
                    <a:prstGeom prst="rect">
                      <a:avLst/>
                    </a:prstGeom>
                  </pic:spPr>
                </pic:pic>
              </a:graphicData>
            </a:graphic>
          </wp:anchor>
        </w:drawing>
      </w:r>
    </w:p>
    <w:p>
      <w:pPr>
        <w:sectPr>
          <w:pgSz w:w="11906" w:h="16838"/>
          <w:pgMar w:top="1440" w:right="1800" w:bottom="1440" w:left="1520" w:header="851" w:footer="992" w:gutter="0"/>
          <w:pgNumType w:start="1"/>
          <w:cols w:space="720" w:num="1"/>
          <w:docGrid w:type="lines" w:linePitch="312" w:charSpace="0"/>
        </w:sectPr>
      </w:pPr>
    </w:p>
    <w:p/>
    <w:p>
      <w:r>
        <w:drawing>
          <wp:inline distT="0" distB="0" distL="114300" distR="114300">
            <wp:extent cx="5449570" cy="7705090"/>
            <wp:effectExtent l="0" t="0" r="11430" b="3810"/>
            <wp:docPr id="10" name="图片 10" descr="C:\Users\007\Desktop\营业执照+环评注册盖章扫描件_页面_1.jpg营业执照+环评注册盖章扫描件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007\Desktop\营业执照+环评注册盖章扫描件_页面_1.jpg营业执照+环评注册盖章扫描件_页面_1"/>
                    <pic:cNvPicPr>
                      <a:picLocks noChangeAspect="1"/>
                    </pic:cNvPicPr>
                  </pic:nvPicPr>
                  <pic:blipFill>
                    <a:blip r:embed="rId8"/>
                    <a:srcRect/>
                    <a:stretch>
                      <a:fillRect/>
                    </a:stretch>
                  </pic:blipFill>
                  <pic:spPr>
                    <a:xfrm flipH="1" flipV="1">
                      <a:off x="0" y="0"/>
                      <a:ext cx="5449570" cy="7705090"/>
                    </a:xfrm>
                    <a:prstGeom prst="rect">
                      <a:avLst/>
                    </a:prstGeom>
                  </pic:spPr>
                </pic:pic>
              </a:graphicData>
            </a:graphic>
          </wp:inline>
        </w:drawing>
      </w:r>
    </w:p>
    <w:p/>
    <w:p>
      <w:pPr>
        <w:sectPr>
          <w:pgSz w:w="11906" w:h="16838"/>
          <w:pgMar w:top="1440" w:right="1800" w:bottom="1440" w:left="1520" w:header="851" w:footer="992" w:gutter="0"/>
          <w:pgNumType w:start="1"/>
          <w:cols w:space="720" w:num="1"/>
          <w:docGrid w:type="lines" w:linePitch="312" w:charSpace="0"/>
        </w:sectPr>
      </w:pPr>
    </w:p>
    <w:p>
      <w:pPr>
        <w:pStyle w:val="2"/>
      </w:pPr>
      <w:r>
        <w:t>建设项目基本情况</w:t>
      </w:r>
    </w:p>
    <w:tbl>
      <w:tblPr>
        <w:tblStyle w:val="28"/>
        <w:tblW w:w="875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90"/>
        <w:gridCol w:w="1644"/>
        <w:gridCol w:w="400"/>
        <w:gridCol w:w="993"/>
        <w:gridCol w:w="95"/>
        <w:gridCol w:w="921"/>
        <w:gridCol w:w="1458"/>
        <w:gridCol w:w="593"/>
        <w:gridCol w:w="13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2"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项目名称</w:t>
            </w:r>
          </w:p>
        </w:tc>
        <w:tc>
          <w:tcPr>
            <w:tcW w:w="7274" w:type="dxa"/>
            <w:gridSpan w:val="8"/>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0"/>
                <w14:textFill>
                  <w14:solidFill>
                    <w14:schemeClr w14:val="tx1"/>
                  </w14:solidFill>
                </w14:textFill>
              </w:rPr>
              <w:t>新乡市红阳油脂工程技术有限公司年产300套环保设备关键部件制造项目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建设单位</w:t>
            </w:r>
          </w:p>
        </w:tc>
        <w:tc>
          <w:tcPr>
            <w:tcW w:w="7274" w:type="dxa"/>
            <w:gridSpan w:val="8"/>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新乡市红阳油脂工程技术有限公司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法人代表</w:t>
            </w:r>
          </w:p>
        </w:tc>
        <w:tc>
          <w:tcPr>
            <w:tcW w:w="3267" w:type="dxa"/>
            <w:gridSpan w:val="4"/>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郭兰芹</w:t>
            </w:r>
          </w:p>
        </w:tc>
        <w:tc>
          <w:tcPr>
            <w:tcW w:w="1083"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联系人</w:t>
            </w:r>
          </w:p>
        </w:tc>
        <w:tc>
          <w:tcPr>
            <w:tcW w:w="2924" w:type="dxa"/>
            <w:gridSpan w:val="3"/>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韦晓华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通讯地址</w:t>
            </w:r>
          </w:p>
        </w:tc>
        <w:tc>
          <w:tcPr>
            <w:tcW w:w="7274" w:type="dxa"/>
            <w:gridSpan w:val="8"/>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新乡市新乡经济技术开发区支一路与支四路交叉口向东150米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联系电话</w:t>
            </w:r>
          </w:p>
        </w:tc>
        <w:tc>
          <w:tcPr>
            <w:tcW w:w="1940" w:type="dxa"/>
            <w:gridSpan w:val="2"/>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13903732615</w:t>
            </w:r>
          </w:p>
        </w:tc>
        <w:tc>
          <w:tcPr>
            <w:tcW w:w="1327" w:type="dxa"/>
            <w:gridSpan w:val="2"/>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传  真</w:t>
            </w:r>
          </w:p>
        </w:tc>
        <w:tc>
          <w:tcPr>
            <w:tcW w:w="1083" w:type="dxa"/>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p>
        </w:tc>
        <w:tc>
          <w:tcPr>
            <w:tcW w:w="1241"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邮政编码</w:t>
            </w:r>
          </w:p>
        </w:tc>
        <w:tc>
          <w:tcPr>
            <w:tcW w:w="1683" w:type="dxa"/>
            <w:gridSpan w:val="2"/>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361000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建设地点</w:t>
            </w:r>
          </w:p>
        </w:tc>
        <w:tc>
          <w:tcPr>
            <w:tcW w:w="7274" w:type="dxa"/>
            <w:gridSpan w:val="8"/>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新乡市新乡经济技术开发区支一路与支四路交叉口向东150米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eastAsiaTheme="minorEastAsia"/>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立项审批</w:t>
            </w:r>
          </w:p>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部门</w:t>
            </w:r>
          </w:p>
        </w:tc>
        <w:tc>
          <w:tcPr>
            <w:tcW w:w="3139" w:type="dxa"/>
            <w:gridSpan w:val="3"/>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新乡市</w:t>
            </w:r>
            <w:r>
              <w:rPr>
                <w:rFonts w:hint="eastAsia" w:ascii="Times New Roman" w:hAnsi="Times New Roman" w:cs="Times New Roman"/>
                <w:color w:val="000000" w:themeColor="text1"/>
                <w:sz w:val="24"/>
                <w:szCs w:val="24"/>
                <w14:textFill>
                  <w14:solidFill>
                    <w14:schemeClr w14:val="tx1"/>
                  </w14:solidFill>
                </w14:textFill>
              </w:rPr>
              <w:t>新乡经济技术开发区</w:t>
            </w:r>
            <w:r>
              <w:rPr>
                <w:rFonts w:ascii="Times New Roman" w:hAnsi="Times New Roman" w:cs="Times New Roman"/>
                <w:color w:val="000000" w:themeColor="text1"/>
                <w:sz w:val="24"/>
                <w:szCs w:val="24"/>
                <w14:textFill>
                  <w14:solidFill>
                    <w14:schemeClr w14:val="tx1"/>
                  </w14:solidFill>
                </w14:textFill>
              </w:rPr>
              <w:t>发展和改革委员会</w:t>
            </w:r>
          </w:p>
        </w:tc>
        <w:tc>
          <w:tcPr>
            <w:tcW w:w="1211" w:type="dxa"/>
            <w:gridSpan w:val="2"/>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项目代码</w:t>
            </w:r>
          </w:p>
        </w:tc>
        <w:tc>
          <w:tcPr>
            <w:tcW w:w="2924" w:type="dxa"/>
            <w:gridSpan w:val="3"/>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2020-410772-35-03-006465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建设性质</w:t>
            </w:r>
          </w:p>
        </w:tc>
        <w:tc>
          <w:tcPr>
            <w:tcW w:w="3139" w:type="dxa"/>
            <w:gridSpan w:val="3"/>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新建</w:t>
            </w:r>
            <w:r>
              <w:rPr>
                <w:rFonts w:hint="eastAsia" w:ascii="Times New Roman" w:hAnsi="Times New Roman" w:cs="Times New Roman"/>
                <w:sz w:val="24"/>
              </w:rPr>
              <w:sym w:font="Wingdings 2" w:char="00A3"/>
            </w:r>
            <w:r>
              <w:rPr>
                <w:rFonts w:ascii="Times New Roman" w:hAnsi="Times New Roman" w:cs="Times New Roman"/>
                <w:bCs/>
                <w:color w:val="000000" w:themeColor="text1"/>
                <w:sz w:val="24"/>
                <w:szCs w:val="24"/>
                <w14:textFill>
                  <w14:solidFill>
                    <w14:schemeClr w14:val="tx1"/>
                  </w14:solidFill>
                </w14:textFill>
              </w:rPr>
              <w:t>改扩建</w:t>
            </w:r>
            <w:r>
              <w:rPr>
                <w:rFonts w:ascii="Times New Roman" w:hAnsi="Times New Roman" w:cs="Times New Roman"/>
                <w:sz w:val="24"/>
              </w:rPr>
              <w:sym w:font="Wingdings 2" w:char="0052"/>
            </w:r>
            <w:r>
              <w:rPr>
                <w:rFonts w:ascii="Times New Roman" w:hAnsi="Times New Roman" w:cs="Times New Roman"/>
                <w:bCs/>
                <w:color w:val="000000" w:themeColor="text1"/>
                <w:sz w:val="24"/>
                <w:szCs w:val="24"/>
                <w14:textFill>
                  <w14:solidFill>
                    <w14:schemeClr w14:val="tx1"/>
                  </w14:solidFill>
                </w14:textFill>
              </w:rPr>
              <w:t>技改</w:t>
            </w:r>
            <w:r>
              <w:rPr>
                <w:rFonts w:ascii="Times New Roman" w:hAnsi="Times New Roman" w:cs="Times New Roman"/>
                <w:sz w:val="24"/>
              </w:rPr>
              <w:sym w:font="Wingdings 2" w:char="00A3"/>
            </w:r>
          </w:p>
        </w:tc>
        <w:tc>
          <w:tcPr>
            <w:tcW w:w="1211" w:type="dxa"/>
            <w:gridSpan w:val="2"/>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行业类别及代码</w:t>
            </w:r>
          </w:p>
        </w:tc>
        <w:tc>
          <w:tcPr>
            <w:tcW w:w="2924" w:type="dxa"/>
            <w:gridSpan w:val="3"/>
            <w:tcMar>
              <w:top w:w="57" w:type="dxa"/>
              <w:left w:w="85" w:type="dxa"/>
              <w:bottom w:w="57" w:type="dxa"/>
              <w:right w:w="85" w:type="dxa"/>
            </w:tcMar>
            <w:vAlign w:val="center"/>
          </w:tcPr>
          <w:p>
            <w:pPr>
              <w:widowControl/>
              <w:snapToGrid w:val="0"/>
              <w:spacing w:line="300" w:lineRule="exact"/>
              <w:jc w:val="center"/>
              <w:textAlignment w:val="top"/>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C-35</w:t>
            </w:r>
            <w:r>
              <w:rPr>
                <w:rFonts w:hint="eastAsia" w:ascii="Times New Roman" w:hAnsi="Times New Roman" w:cs="Times New Roman"/>
                <w:color w:val="000000" w:themeColor="text1"/>
                <w:sz w:val="24"/>
                <w:szCs w:val="24"/>
                <w14:textFill>
                  <w14:solidFill>
                    <w14:schemeClr w14:val="tx1"/>
                  </w14:solidFill>
                </w14:textFill>
              </w:rPr>
              <w:t>91环境保护专用设备制造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6"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pacing w:val="-8"/>
                <w:sz w:val="24"/>
                <w:szCs w:val="24"/>
                <w14:textFill>
                  <w14:solidFill>
                    <w14:schemeClr w14:val="tx1"/>
                  </w14:solidFill>
                </w14:textFill>
              </w:rPr>
            </w:pPr>
            <w:r>
              <w:rPr>
                <w:rFonts w:ascii="Times New Roman" w:hAnsi="Times New Roman" w:cs="Times New Roman"/>
                <w:b/>
                <w:color w:val="000000" w:themeColor="text1"/>
                <w:spacing w:val="-8"/>
                <w:sz w:val="24"/>
                <w:szCs w:val="24"/>
                <w14:textFill>
                  <w14:solidFill>
                    <w14:schemeClr w14:val="tx1"/>
                  </w14:solidFill>
                </w14:textFill>
              </w:rPr>
              <w:t>占地面积</w:t>
            </w:r>
          </w:p>
          <w:p>
            <w:pPr>
              <w:spacing w:line="300" w:lineRule="exact"/>
              <w:jc w:val="center"/>
              <w:rPr>
                <w:rFonts w:ascii="Times New Roman" w:hAnsi="Times New Roman" w:cs="Times New Roman"/>
                <w:b/>
                <w:color w:val="000000" w:themeColor="text1"/>
                <w:spacing w:val="-8"/>
                <w:sz w:val="24"/>
                <w:szCs w:val="24"/>
                <w14:textFill>
                  <w14:solidFill>
                    <w14:schemeClr w14:val="tx1"/>
                  </w14:solidFill>
                </w14:textFill>
              </w:rPr>
            </w:pPr>
            <w:r>
              <w:rPr>
                <w:rFonts w:ascii="Times New Roman" w:hAnsi="Times New Roman" w:cs="Times New Roman"/>
                <w:b/>
                <w:color w:val="000000" w:themeColor="text1"/>
                <w:spacing w:val="-8"/>
                <w:sz w:val="24"/>
                <w:szCs w:val="24"/>
                <w14:textFill>
                  <w14:solidFill>
                    <w14:schemeClr w14:val="tx1"/>
                  </w14:solidFill>
                </w14:textFill>
              </w:rPr>
              <w:t>（平方米）</w:t>
            </w:r>
          </w:p>
        </w:tc>
        <w:tc>
          <w:tcPr>
            <w:tcW w:w="3139" w:type="dxa"/>
            <w:gridSpan w:val="3"/>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5052</w:t>
            </w:r>
          </w:p>
        </w:tc>
        <w:tc>
          <w:tcPr>
            <w:tcW w:w="1211" w:type="dxa"/>
            <w:gridSpan w:val="2"/>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pacing w:val="-8"/>
                <w:sz w:val="24"/>
                <w:szCs w:val="24"/>
                <w14:textFill>
                  <w14:solidFill>
                    <w14:schemeClr w14:val="tx1"/>
                  </w14:solidFill>
                </w14:textFill>
              </w:rPr>
            </w:pPr>
            <w:r>
              <w:rPr>
                <w:rFonts w:ascii="Times New Roman" w:hAnsi="Times New Roman" w:cs="Times New Roman"/>
                <w:b/>
                <w:color w:val="000000" w:themeColor="text1"/>
                <w:spacing w:val="-8"/>
                <w:sz w:val="24"/>
                <w:szCs w:val="24"/>
                <w14:textFill>
                  <w14:solidFill>
                    <w14:schemeClr w14:val="tx1"/>
                  </w14:solidFill>
                </w14:textFill>
              </w:rPr>
              <w:t>绿化面积</w:t>
            </w:r>
          </w:p>
          <w:p>
            <w:pPr>
              <w:spacing w:line="300" w:lineRule="exact"/>
              <w:jc w:val="center"/>
              <w:rPr>
                <w:rFonts w:ascii="Times New Roman" w:hAnsi="Times New Roman" w:cs="Times New Roman"/>
                <w:b/>
                <w:color w:val="000000" w:themeColor="text1"/>
                <w:spacing w:val="-8"/>
                <w:sz w:val="24"/>
                <w:szCs w:val="24"/>
                <w14:textFill>
                  <w14:solidFill>
                    <w14:schemeClr w14:val="tx1"/>
                  </w14:solidFill>
                </w14:textFill>
              </w:rPr>
            </w:pPr>
            <w:r>
              <w:rPr>
                <w:rFonts w:ascii="Times New Roman" w:hAnsi="Times New Roman" w:cs="Times New Roman"/>
                <w:b/>
                <w:color w:val="000000" w:themeColor="text1"/>
                <w:spacing w:val="-8"/>
                <w:sz w:val="24"/>
                <w:szCs w:val="24"/>
                <w14:textFill>
                  <w14:solidFill>
                    <w14:schemeClr w14:val="tx1"/>
                  </w14:solidFill>
                </w14:textFill>
              </w:rPr>
              <w:t>(平方米)</w:t>
            </w:r>
          </w:p>
        </w:tc>
        <w:tc>
          <w:tcPr>
            <w:tcW w:w="2924" w:type="dxa"/>
            <w:gridSpan w:val="3"/>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76"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总投资</w:t>
            </w:r>
          </w:p>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（万元）</w:t>
            </w:r>
          </w:p>
        </w:tc>
        <w:tc>
          <w:tcPr>
            <w:tcW w:w="1438" w:type="dxa"/>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600</w:t>
            </w:r>
          </w:p>
        </w:tc>
        <w:tc>
          <w:tcPr>
            <w:tcW w:w="1701" w:type="dxa"/>
            <w:gridSpan w:val="2"/>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pacing w:val="-12"/>
                <w:sz w:val="24"/>
                <w:szCs w:val="24"/>
                <w14:textFill>
                  <w14:solidFill>
                    <w14:schemeClr w14:val="tx1"/>
                  </w14:solidFill>
                </w14:textFill>
              </w:rPr>
            </w:pPr>
            <w:r>
              <w:rPr>
                <w:rFonts w:ascii="Times New Roman" w:hAnsi="Times New Roman" w:cs="Times New Roman"/>
                <w:b/>
                <w:color w:val="000000" w:themeColor="text1"/>
                <w:spacing w:val="-12"/>
                <w:sz w:val="24"/>
                <w:szCs w:val="24"/>
                <w14:textFill>
                  <w14:solidFill>
                    <w14:schemeClr w14:val="tx1"/>
                  </w14:solidFill>
                </w14:textFill>
              </w:rPr>
              <w:t>其中：环保</w:t>
            </w:r>
          </w:p>
          <w:p>
            <w:pPr>
              <w:spacing w:line="300" w:lineRule="exact"/>
              <w:jc w:val="center"/>
              <w:rPr>
                <w:rFonts w:ascii="Times New Roman" w:hAnsi="Times New Roman" w:cs="Times New Roman"/>
                <w:b/>
                <w:color w:val="000000" w:themeColor="text1"/>
                <w:spacing w:val="-12"/>
                <w:sz w:val="24"/>
                <w:szCs w:val="24"/>
                <w14:textFill>
                  <w14:solidFill>
                    <w14:schemeClr w14:val="tx1"/>
                  </w14:solidFill>
                </w14:textFill>
              </w:rPr>
            </w:pPr>
            <w:r>
              <w:rPr>
                <w:rFonts w:ascii="Times New Roman" w:hAnsi="Times New Roman" w:cs="Times New Roman"/>
                <w:b/>
                <w:color w:val="000000" w:themeColor="text1"/>
                <w:spacing w:val="-12"/>
                <w:sz w:val="24"/>
                <w:szCs w:val="24"/>
                <w14:textFill>
                  <w14:solidFill>
                    <w14:schemeClr w14:val="tx1"/>
                  </w14:solidFill>
                </w14:textFill>
              </w:rPr>
              <w:t>投资(万元)</w:t>
            </w:r>
          </w:p>
        </w:tc>
        <w:tc>
          <w:tcPr>
            <w:tcW w:w="1211" w:type="dxa"/>
            <w:gridSpan w:val="2"/>
            <w:shd w:val="clear" w:color="auto" w:fill="auto"/>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15</w:t>
            </w:r>
          </w:p>
        </w:tc>
        <w:tc>
          <w:tcPr>
            <w:tcW w:w="1766" w:type="dxa"/>
            <w:gridSpan w:val="2"/>
            <w:shd w:val="clear" w:color="auto" w:fill="auto"/>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环</w:t>
            </w:r>
            <w:r>
              <w:rPr>
                <w:rFonts w:ascii="Times New Roman" w:hAnsi="Times New Roman" w:cs="Times New Roman"/>
                <w:b/>
                <w:color w:val="000000" w:themeColor="text1"/>
                <w:spacing w:val="-12"/>
                <w:sz w:val="24"/>
                <w:szCs w:val="24"/>
                <w14:textFill>
                  <w14:solidFill>
                    <w14:schemeClr w14:val="tx1"/>
                  </w14:solidFill>
                </w14:textFill>
              </w:rPr>
              <w:t>保</w:t>
            </w:r>
            <w:r>
              <w:rPr>
                <w:rFonts w:ascii="Times New Roman" w:hAnsi="Times New Roman" w:cs="Times New Roman"/>
                <w:b/>
                <w:color w:val="000000" w:themeColor="text1"/>
                <w:sz w:val="24"/>
                <w:szCs w:val="24"/>
                <w14:textFill>
                  <w14:solidFill>
                    <w14:schemeClr w14:val="tx1"/>
                  </w14:solidFill>
                </w14:textFill>
              </w:rPr>
              <w:t>投资占</w:t>
            </w:r>
          </w:p>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总投资比例</w:t>
            </w:r>
          </w:p>
        </w:tc>
        <w:tc>
          <w:tcPr>
            <w:tcW w:w="1158" w:type="dxa"/>
            <w:shd w:val="clear" w:color="auto" w:fill="auto"/>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1482" w:type="dxa"/>
            <w:tcMar>
              <w:top w:w="57" w:type="dxa"/>
              <w:left w:w="85" w:type="dxa"/>
              <w:bottom w:w="57" w:type="dxa"/>
              <w:right w:w="85" w:type="dxa"/>
            </w:tcMar>
            <w:vAlign w:val="center"/>
          </w:tcPr>
          <w:p>
            <w:pPr>
              <w:spacing w:line="300" w:lineRule="exact"/>
              <w:jc w:val="center"/>
              <w:rPr>
                <w:rFonts w:ascii="Times New Roman" w:hAnsi="Times New Roman" w:cs="Times New Roman" w:eastAsiaTheme="minorEastAsia"/>
                <w:b/>
                <w:color w:val="000000" w:themeColor="text1"/>
                <w:spacing w:val="-8"/>
                <w:sz w:val="24"/>
                <w:szCs w:val="24"/>
                <w14:textFill>
                  <w14:solidFill>
                    <w14:schemeClr w14:val="tx1"/>
                  </w14:solidFill>
                </w14:textFill>
              </w:rPr>
            </w:pPr>
            <w:r>
              <w:rPr>
                <w:rFonts w:ascii="Times New Roman" w:hAnsi="Times New Roman" w:cs="Times New Roman"/>
                <w:b/>
                <w:color w:val="000000" w:themeColor="text1"/>
                <w:spacing w:val="-8"/>
                <w:sz w:val="24"/>
                <w:szCs w:val="24"/>
                <w14:textFill>
                  <w14:solidFill>
                    <w14:schemeClr w14:val="tx1"/>
                  </w14:solidFill>
                </w14:textFill>
              </w:rPr>
              <w:t>评价经费</w:t>
            </w:r>
          </w:p>
          <w:p>
            <w:pPr>
              <w:spacing w:line="300" w:lineRule="exact"/>
              <w:jc w:val="center"/>
              <w:rPr>
                <w:rFonts w:ascii="Times New Roman" w:hAnsi="Times New Roman" w:cs="Times New Roman"/>
                <w:b/>
                <w:color w:val="000000" w:themeColor="text1"/>
                <w:spacing w:val="-8"/>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（万元）</w:t>
            </w:r>
          </w:p>
        </w:tc>
        <w:tc>
          <w:tcPr>
            <w:tcW w:w="1438" w:type="dxa"/>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p>
        </w:tc>
        <w:tc>
          <w:tcPr>
            <w:tcW w:w="1701" w:type="dxa"/>
            <w:gridSpan w:val="2"/>
            <w:tcMar>
              <w:top w:w="57" w:type="dxa"/>
              <w:left w:w="85" w:type="dxa"/>
              <w:bottom w:w="57" w:type="dxa"/>
              <w:right w:w="85" w:type="dxa"/>
            </w:tcMar>
            <w:vAlign w:val="center"/>
          </w:tcPr>
          <w:p>
            <w:pPr>
              <w:spacing w:line="300" w:lineRule="exact"/>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预期投产</w:t>
            </w:r>
          </w:p>
          <w:p>
            <w:pPr>
              <w:spacing w:line="300" w:lineRule="exact"/>
              <w:jc w:val="center"/>
              <w:rPr>
                <w:rFonts w:ascii="Times New Roman" w:hAnsi="Times New Roman" w:cs="Times New Roman"/>
                <w:b/>
                <w:color w:val="000000" w:themeColor="text1"/>
                <w:spacing w:val="-12"/>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日    期</w:t>
            </w:r>
          </w:p>
        </w:tc>
        <w:tc>
          <w:tcPr>
            <w:tcW w:w="4135" w:type="dxa"/>
            <w:gridSpan w:val="5"/>
            <w:tcMar>
              <w:top w:w="57" w:type="dxa"/>
              <w:left w:w="85" w:type="dxa"/>
              <w:bottom w:w="57" w:type="dxa"/>
              <w:right w:w="85" w:type="dxa"/>
            </w:tcMar>
            <w:vAlign w:val="center"/>
          </w:tcPr>
          <w:p>
            <w:pPr>
              <w:spacing w:line="300" w:lineRule="exact"/>
              <w:jc w:val="center"/>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2020.4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8756" w:type="dxa"/>
            <w:gridSpan w:val="9"/>
          </w:tcPr>
          <w:p>
            <w:pPr>
              <w:adjustRightInd w:val="0"/>
              <w:spacing w:line="360" w:lineRule="auto"/>
              <w:rPr>
                <w:rFonts w:ascii="Times New Roman" w:hAnsi="Times New Roman" w:eastAsia="黑体" w:cs="Times New Roman"/>
                <w:color w:val="000000" w:themeColor="text1"/>
                <w:szCs w:val="28"/>
                <w14:textFill>
                  <w14:solidFill>
                    <w14:schemeClr w14:val="tx1"/>
                  </w14:solidFill>
                </w14:textFill>
              </w:rPr>
            </w:pPr>
            <w:r>
              <w:rPr>
                <w:rFonts w:hint="eastAsia" w:ascii="Times New Roman" w:hAnsi="Times New Roman" w:eastAsia="黑体" w:cs="Times New Roman"/>
                <w:color w:val="000000" w:themeColor="text1"/>
                <w:szCs w:val="28"/>
                <w14:textFill>
                  <w14:solidFill>
                    <w14:schemeClr w14:val="tx1"/>
                  </w14:solidFill>
                </w14:textFill>
              </w:rPr>
              <w:t>工程内容及规模</w:t>
            </w:r>
          </w:p>
          <w:p>
            <w:pPr>
              <w:spacing w:line="360" w:lineRule="auto"/>
              <w:rPr>
                <w:rFonts w:ascii="Times New Roman" w:hAnsi="Times New Roman" w:cs="Times New Roman"/>
                <w:b/>
                <w:bCs/>
                <w:color w:val="000000" w:themeColor="text1"/>
                <w:sz w:val="24"/>
                <w:szCs w:val="20"/>
                <w14:textFill>
                  <w14:solidFill>
                    <w14:schemeClr w14:val="tx1"/>
                  </w14:solidFill>
                </w14:textFill>
              </w:rPr>
            </w:pPr>
            <w:r>
              <w:rPr>
                <w:rFonts w:hint="eastAsia" w:ascii="Times New Roman" w:hAnsi="Times New Roman" w:cs="Times New Roman"/>
                <w:b/>
                <w:bCs/>
                <w:color w:val="000000" w:themeColor="text1"/>
                <w:sz w:val="24"/>
                <w:szCs w:val="20"/>
                <w14:textFill>
                  <w14:solidFill>
                    <w14:schemeClr w14:val="tx1"/>
                  </w14:solidFill>
                </w14:textFill>
              </w:rPr>
              <w:t>一、项目由来</w:t>
            </w:r>
          </w:p>
          <w:p>
            <w:pPr>
              <w:spacing w:line="360" w:lineRule="auto"/>
              <w:ind w:firstLine="480" w:firstLineChars="200"/>
              <w:rPr>
                <w:rFonts w:ascii="Times New Roman" w:hAnsi="Times New Roman" w:cs="Times New Roman"/>
                <w:kern w:val="0"/>
                <w:sz w:val="24"/>
                <w:szCs w:val="24"/>
              </w:rPr>
            </w:pPr>
            <w:r>
              <w:rPr>
                <w:rFonts w:hint="eastAsia" w:ascii="Times New Roman" w:hAnsi="Times New Roman" w:cs="Times New Roman"/>
                <w:color w:val="000000" w:themeColor="text1"/>
                <w:sz w:val="24"/>
                <w:szCs w:val="20"/>
                <w14:textFill>
                  <w14:solidFill>
                    <w14:schemeClr w14:val="tx1"/>
                  </w14:solidFill>
                </w14:textFill>
              </w:rPr>
              <w:t>新乡市红阳油脂工程技术有限公司</w:t>
            </w:r>
            <w:r>
              <w:rPr>
                <w:rFonts w:ascii="Times New Roman" w:hAnsi="Times New Roman" w:cs="Times New Roman"/>
                <w:bCs/>
                <w:color w:val="000000"/>
                <w:sz w:val="24"/>
              </w:rPr>
              <w:t>成立于200</w:t>
            </w:r>
            <w:r>
              <w:rPr>
                <w:rFonts w:hint="eastAsia" w:ascii="Times New Roman" w:hAnsi="Times New Roman" w:cs="Times New Roman"/>
                <w:bCs/>
                <w:color w:val="000000"/>
                <w:sz w:val="24"/>
              </w:rPr>
              <w:t>8</w:t>
            </w:r>
            <w:r>
              <w:rPr>
                <w:rFonts w:ascii="Times New Roman" w:hAnsi="Times New Roman" w:cs="Times New Roman"/>
                <w:bCs/>
                <w:color w:val="000000"/>
                <w:sz w:val="24"/>
              </w:rPr>
              <w:t>年</w:t>
            </w:r>
            <w:r>
              <w:rPr>
                <w:rFonts w:hint="eastAsia" w:ascii="Times New Roman" w:hAnsi="Times New Roman" w:cs="Times New Roman"/>
                <w:bCs/>
                <w:color w:val="000000"/>
                <w:sz w:val="24"/>
              </w:rPr>
              <w:t>，位于</w:t>
            </w:r>
            <w:r>
              <w:rPr>
                <w:rFonts w:hint="eastAsia" w:ascii="Times New Roman" w:hAnsi="Times New Roman" w:cs="Times New Roman"/>
                <w:color w:val="000000" w:themeColor="text1"/>
                <w:sz w:val="24"/>
                <w14:textFill>
                  <w14:solidFill>
                    <w14:schemeClr w14:val="tx1"/>
                  </w14:solidFill>
                </w14:textFill>
              </w:rPr>
              <w:t>新乡市新乡经济技术开发区支一路与支四路交叉口向东150米。</w:t>
            </w:r>
            <w:r>
              <w:rPr>
                <w:rFonts w:ascii="Times New Roman" w:hAnsi="Times New Roman" w:cs="Times New Roman"/>
                <w:kern w:val="0"/>
                <w:sz w:val="24"/>
                <w:szCs w:val="24"/>
                <w:lang w:val="zh-CN"/>
              </w:rPr>
              <w:t>201</w:t>
            </w:r>
            <w:r>
              <w:rPr>
                <w:rFonts w:hint="eastAsia" w:ascii="Times New Roman" w:hAnsi="Times New Roman" w:cs="Times New Roman"/>
                <w:kern w:val="0"/>
                <w:sz w:val="24"/>
                <w:szCs w:val="24"/>
              </w:rPr>
              <w:t>0</w:t>
            </w:r>
            <w:r>
              <w:rPr>
                <w:rFonts w:ascii="Times New Roman" w:hAnsi="Times New Roman" w:cs="Times New Roman"/>
                <w:kern w:val="0"/>
                <w:sz w:val="24"/>
                <w:szCs w:val="24"/>
                <w:lang w:val="zh-CN"/>
              </w:rPr>
              <w:t>年</w:t>
            </w:r>
            <w:r>
              <w:rPr>
                <w:rFonts w:hint="eastAsia" w:ascii="Times New Roman" w:hAnsi="Times New Roman" w:cs="Times New Roman"/>
                <w:kern w:val="0"/>
                <w:sz w:val="24"/>
                <w:szCs w:val="24"/>
              </w:rPr>
              <w:t>公司投资建设“</w:t>
            </w:r>
            <w:r>
              <w:rPr>
                <w:rFonts w:hint="eastAsia" w:ascii="Times New Roman" w:hAnsi="Times New Roman" w:cs="Times New Roman"/>
                <w:sz w:val="24"/>
              </w:rPr>
              <w:t>年产油脂设备5套项目</w:t>
            </w:r>
            <w:r>
              <w:rPr>
                <w:rFonts w:hint="eastAsia" w:ascii="Times New Roman" w:hAnsi="Times New Roman" w:cs="Times New Roman"/>
                <w:kern w:val="0"/>
                <w:sz w:val="24"/>
                <w:szCs w:val="24"/>
                <w:lang w:val="zh-CN"/>
              </w:rPr>
              <w:t>”</w:t>
            </w:r>
            <w:r>
              <w:rPr>
                <w:rFonts w:hint="eastAsia" w:ascii="Times New Roman" w:hAnsi="Times New Roman" w:cs="Times New Roman"/>
                <w:kern w:val="0"/>
                <w:sz w:val="24"/>
                <w:szCs w:val="24"/>
              </w:rPr>
              <w:t>并编制环境影响登记表，同年4月30日项目</w:t>
            </w:r>
            <w:r>
              <w:rPr>
                <w:rFonts w:ascii="Times New Roman" w:hAnsi="Times New Roman" w:cs="Times New Roman"/>
                <w:kern w:val="0"/>
                <w:sz w:val="24"/>
                <w:szCs w:val="24"/>
                <w:lang w:val="zh-CN"/>
              </w:rPr>
              <w:t>经新乡市环保局</w:t>
            </w:r>
            <w:r>
              <w:rPr>
                <w:rFonts w:hint="eastAsia" w:ascii="Times New Roman" w:hAnsi="Times New Roman" w:cs="Times New Roman"/>
                <w:kern w:val="0"/>
                <w:sz w:val="24"/>
                <w:szCs w:val="24"/>
              </w:rPr>
              <w:t>工业园区分局</w:t>
            </w:r>
            <w:r>
              <w:rPr>
                <w:rFonts w:ascii="Times New Roman" w:hAnsi="Times New Roman" w:cs="Times New Roman"/>
                <w:kern w:val="0"/>
                <w:sz w:val="24"/>
                <w:szCs w:val="24"/>
                <w:lang w:val="zh-CN"/>
              </w:rPr>
              <w:t>批复。</w:t>
            </w:r>
            <w:r>
              <w:rPr>
                <w:rFonts w:ascii="Times New Roman" w:hAnsi="Times New Roman" w:cs="Times New Roman"/>
                <w:kern w:val="0"/>
                <w:sz w:val="24"/>
                <w:szCs w:val="24"/>
              </w:rPr>
              <w:t>201</w:t>
            </w:r>
            <w:r>
              <w:rPr>
                <w:rFonts w:hint="eastAsia" w:ascii="Times New Roman" w:hAnsi="Times New Roman" w:cs="Times New Roman"/>
                <w:kern w:val="0"/>
                <w:sz w:val="24"/>
                <w:szCs w:val="24"/>
              </w:rPr>
              <w:t>2</w:t>
            </w:r>
            <w:r>
              <w:rPr>
                <w:rFonts w:ascii="Times New Roman" w:hAnsi="Times New Roman" w:cs="Times New Roman"/>
                <w:kern w:val="0"/>
                <w:sz w:val="24"/>
                <w:szCs w:val="24"/>
              </w:rPr>
              <w:t>年</w:t>
            </w:r>
            <w:r>
              <w:rPr>
                <w:rFonts w:hint="eastAsia" w:ascii="Times New Roman" w:hAnsi="Times New Roman" w:cs="Times New Roman"/>
                <w:kern w:val="0"/>
                <w:sz w:val="24"/>
                <w:szCs w:val="24"/>
              </w:rPr>
              <w:t>5</w:t>
            </w:r>
            <w:r>
              <w:rPr>
                <w:rFonts w:ascii="Times New Roman" w:hAnsi="Times New Roman" w:cs="Times New Roman"/>
                <w:kern w:val="0"/>
                <w:sz w:val="24"/>
                <w:szCs w:val="24"/>
              </w:rPr>
              <w:t>月</w:t>
            </w:r>
            <w:r>
              <w:rPr>
                <w:rFonts w:hint="eastAsia" w:ascii="Times New Roman" w:hAnsi="Times New Roman" w:cs="Times New Roman"/>
                <w:kern w:val="0"/>
                <w:sz w:val="24"/>
                <w:szCs w:val="24"/>
              </w:rPr>
              <w:t>24日该项目</w:t>
            </w:r>
            <w:r>
              <w:rPr>
                <w:rFonts w:ascii="Times New Roman" w:hAnsi="Times New Roman" w:cs="Times New Roman"/>
                <w:kern w:val="0"/>
                <w:sz w:val="24"/>
                <w:szCs w:val="24"/>
              </w:rPr>
              <w:t>经新乡市环境保护局</w:t>
            </w:r>
            <w:r>
              <w:rPr>
                <w:rFonts w:hint="eastAsia" w:ascii="Times New Roman" w:hAnsi="Times New Roman" w:cs="Times New Roman"/>
                <w:kern w:val="0"/>
                <w:sz w:val="24"/>
                <w:szCs w:val="24"/>
              </w:rPr>
              <w:t>工业园区分局</w:t>
            </w:r>
            <w:r>
              <w:rPr>
                <w:rFonts w:ascii="Times New Roman" w:hAnsi="Times New Roman" w:cs="Times New Roman"/>
                <w:kern w:val="0"/>
                <w:sz w:val="24"/>
                <w:szCs w:val="24"/>
              </w:rPr>
              <w:t>验收，验收批复文号：新环</w:t>
            </w:r>
            <w:r>
              <w:rPr>
                <w:rFonts w:hint="eastAsia" w:ascii="Times New Roman" w:hAnsi="Times New Roman" w:cs="Times New Roman"/>
                <w:kern w:val="0"/>
                <w:sz w:val="24"/>
                <w:szCs w:val="24"/>
              </w:rPr>
              <w:t>工</w:t>
            </w:r>
            <w:r>
              <w:rPr>
                <w:rFonts w:ascii="Times New Roman" w:hAnsi="Times New Roman" w:cs="Times New Roman"/>
                <w:kern w:val="0"/>
                <w:sz w:val="24"/>
                <w:szCs w:val="24"/>
              </w:rPr>
              <w:t>验（201</w:t>
            </w:r>
            <w:r>
              <w:rPr>
                <w:rFonts w:hint="eastAsia" w:ascii="Times New Roman" w:hAnsi="Times New Roman" w:cs="Times New Roman"/>
                <w:kern w:val="0"/>
                <w:sz w:val="24"/>
                <w:szCs w:val="24"/>
              </w:rPr>
              <w:t>2</w:t>
            </w:r>
            <w:r>
              <w:rPr>
                <w:rFonts w:ascii="Times New Roman" w:hAnsi="Times New Roman" w:cs="Times New Roman"/>
                <w:kern w:val="0"/>
                <w:sz w:val="24"/>
                <w:szCs w:val="24"/>
              </w:rPr>
              <w:t>）</w:t>
            </w:r>
            <w:r>
              <w:rPr>
                <w:rFonts w:hint="eastAsia" w:ascii="Times New Roman" w:hAnsi="Times New Roman" w:cs="Times New Roman"/>
                <w:kern w:val="0"/>
                <w:sz w:val="24"/>
                <w:szCs w:val="24"/>
              </w:rPr>
              <w:t>00</w:t>
            </w:r>
            <w:r>
              <w:rPr>
                <w:rFonts w:ascii="Times New Roman" w:hAnsi="Times New Roman" w:cs="Times New Roman"/>
                <w:kern w:val="0"/>
                <w:sz w:val="24"/>
                <w:szCs w:val="24"/>
              </w:rPr>
              <w:t>3号</w:t>
            </w:r>
            <w:r>
              <w:rPr>
                <w:rFonts w:hint="eastAsia" w:ascii="Times New Roman" w:hAnsi="Times New Roman" w:cs="Times New Roman"/>
                <w:kern w:val="0"/>
                <w:sz w:val="24"/>
                <w:szCs w:val="24"/>
              </w:rPr>
              <w:t>。</w:t>
            </w:r>
            <w:r>
              <w:rPr>
                <w:rFonts w:hint="eastAsia" w:ascii="Times New Roman" w:hAnsi="Times New Roman" w:cs="Times New Roman"/>
                <w:color w:val="000000" w:themeColor="text1"/>
                <w:sz w:val="24"/>
                <w14:textFill>
                  <w14:solidFill>
                    <w14:schemeClr w14:val="tx1"/>
                  </w14:solidFill>
                </w14:textFill>
              </w:rPr>
              <w:t>根据现场调查，扩建项目设备未到位，不具备生产能力，不涉及未批先建。</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0"/>
                <w14:textFill>
                  <w14:solidFill>
                    <w14:schemeClr w14:val="tx1"/>
                  </w14:solidFill>
                </w14:textFill>
              </w:rPr>
              <w:t>为适应市场需求，提高企业竞争力，新乡市红阳油脂工程技术有限公司根据对市场供需情况的分析与预测，现拟投资600万元，在原有项目的基础上，增加生产线，建设“年产300套环保设备关键部件制造项目”（以下简称“本项目”），即密闭式分级筛分设备，项目</w:t>
            </w:r>
            <w:r>
              <w:rPr>
                <w:rFonts w:hint="eastAsia" w:ascii="Times New Roman" w:hAnsi="Times New Roman" w:cs="Times New Roman"/>
                <w:color w:val="000000" w:themeColor="text1"/>
                <w:sz w:val="24"/>
                <w14:textFill>
                  <w14:solidFill>
                    <w14:schemeClr w14:val="tx1"/>
                  </w14:solidFill>
                </w14:textFill>
              </w:rPr>
              <w:t>厂房及办公用地延用原项目所在地。项目建成后，预计年产环保设备</w:t>
            </w:r>
            <w:r>
              <w:rPr>
                <w:rFonts w:hint="eastAsia" w:ascii="Times New Roman" w:hAnsi="Times New Roman" w:cs="Times New Roman"/>
                <w:color w:val="000000" w:themeColor="text1"/>
                <w:sz w:val="24"/>
                <w:szCs w:val="20"/>
                <w14:textFill>
                  <w14:solidFill>
                    <w14:schemeClr w14:val="tx1"/>
                  </w14:solidFill>
                </w14:textFill>
              </w:rPr>
              <w:t>关键部件300套，即密闭式分级筛分设备300套。</w:t>
            </w:r>
          </w:p>
          <w:p>
            <w:pPr>
              <w:pStyle w:val="24"/>
              <w:adjustRightInd w:val="0"/>
              <w:spacing w:before="0" w:beforeAutospacing="0" w:after="0" w:afterAutospacing="0" w:line="360" w:lineRule="auto"/>
              <w:ind w:firstLine="444" w:firstLineChars="182"/>
              <w:jc w:val="both"/>
              <w:rPr>
                <w:rFonts w:ascii="新宋体" w:hAnsi="新宋体" w:eastAsia="新宋体" w:cs="新宋体"/>
              </w:rPr>
            </w:pPr>
            <w:r>
              <w:rPr>
                <w:rFonts w:ascii="新宋体" w:hAnsi="新宋体" w:eastAsia="新宋体" w:cs="新宋体"/>
                <w:spacing w:val="2"/>
              </w:rPr>
              <w:t>根据《</w:t>
            </w:r>
            <w:r>
              <w:rPr>
                <w:rFonts w:ascii="新宋体" w:hAnsi="新宋体" w:eastAsia="新宋体" w:cs="新宋体"/>
              </w:rPr>
              <w:t>建</w:t>
            </w:r>
            <w:r>
              <w:rPr>
                <w:rFonts w:ascii="新宋体" w:hAnsi="新宋体" w:eastAsia="新宋体" w:cs="新宋体"/>
                <w:spacing w:val="2"/>
              </w:rPr>
              <w:t>设项目环境保</w:t>
            </w:r>
            <w:r>
              <w:rPr>
                <w:rFonts w:ascii="新宋体" w:hAnsi="新宋体" w:eastAsia="新宋体" w:cs="新宋体"/>
              </w:rPr>
              <w:t>护</w:t>
            </w:r>
            <w:r>
              <w:rPr>
                <w:rFonts w:ascii="新宋体" w:hAnsi="新宋体" w:eastAsia="新宋体" w:cs="新宋体"/>
                <w:spacing w:val="2"/>
              </w:rPr>
              <w:t>管理条例》（</w:t>
            </w:r>
            <w:r>
              <w:rPr>
                <w:rFonts w:ascii="新宋体" w:hAnsi="新宋体" w:eastAsia="新宋体" w:cs="新宋体"/>
              </w:rPr>
              <w:t>国</w:t>
            </w:r>
            <w:r>
              <w:rPr>
                <w:rFonts w:ascii="新宋体" w:hAnsi="新宋体" w:eastAsia="新宋体" w:cs="新宋体"/>
                <w:spacing w:val="2"/>
              </w:rPr>
              <w:t>务院令</w:t>
            </w:r>
            <w:r>
              <w:rPr>
                <w:rFonts w:ascii="新宋体" w:hAnsi="新宋体" w:eastAsia="新宋体" w:cs="新宋体"/>
              </w:rPr>
              <w:t>第</w:t>
            </w:r>
            <w:r>
              <w:rPr>
                <w:rFonts w:ascii="Times New Roman" w:hAnsi="Times New Roman" w:eastAsia="Times New Roman" w:cs="Times New Roman"/>
              </w:rPr>
              <w:t>682</w:t>
            </w:r>
            <w:r>
              <w:rPr>
                <w:rFonts w:ascii="新宋体" w:hAnsi="新宋体" w:eastAsia="新宋体" w:cs="新宋体"/>
                <w:spacing w:val="2"/>
              </w:rPr>
              <w:t>号令）</w:t>
            </w:r>
            <w:r>
              <w:rPr>
                <w:rFonts w:ascii="新宋体" w:hAnsi="新宋体" w:eastAsia="新宋体" w:cs="新宋体"/>
              </w:rPr>
              <w:t>、</w:t>
            </w:r>
            <w:r>
              <w:rPr>
                <w:rFonts w:ascii="新宋体" w:hAnsi="新宋体" w:eastAsia="新宋体" w:cs="新宋体"/>
                <w:spacing w:val="2"/>
              </w:rPr>
              <w:t>《中华人民共</w:t>
            </w:r>
            <w:r>
              <w:rPr>
                <w:rFonts w:ascii="新宋体" w:hAnsi="新宋体" w:eastAsia="新宋体" w:cs="新宋体"/>
              </w:rPr>
              <w:t>和</w:t>
            </w:r>
            <w:r>
              <w:rPr>
                <w:rFonts w:ascii="新宋体" w:hAnsi="新宋体" w:eastAsia="新宋体" w:cs="新宋体"/>
                <w:spacing w:val="2"/>
              </w:rPr>
              <w:t>国环</w:t>
            </w:r>
            <w:r>
              <w:rPr>
                <w:rFonts w:ascii="新宋体" w:hAnsi="新宋体" w:eastAsia="新宋体" w:cs="新宋体"/>
              </w:rPr>
              <w:t>境</w:t>
            </w:r>
            <w:r>
              <w:rPr>
                <w:rFonts w:ascii="新宋体" w:hAnsi="新宋体" w:eastAsia="新宋体" w:cs="新宋体"/>
                <w:spacing w:val="2"/>
              </w:rPr>
              <w:t>影响评价法</w:t>
            </w:r>
            <w:r>
              <w:rPr>
                <w:rFonts w:ascii="新宋体" w:hAnsi="新宋体" w:eastAsia="新宋体" w:cs="新宋体"/>
              </w:rPr>
              <w:t>》</w:t>
            </w:r>
            <w:r>
              <w:rPr>
                <w:rFonts w:ascii="新宋体" w:hAnsi="新宋体" w:eastAsia="新宋体" w:cs="新宋体"/>
                <w:spacing w:val="2"/>
              </w:rPr>
              <w:t>（</w:t>
            </w:r>
            <w:r>
              <w:rPr>
                <w:rFonts w:ascii="Times New Roman" w:hAnsi="Times New Roman" w:eastAsia="Times New Roman" w:cs="Times New Roman"/>
              </w:rPr>
              <w:t>201</w:t>
            </w:r>
            <w:r>
              <w:rPr>
                <w:rFonts w:hint="eastAsia" w:ascii="Times New Roman" w:hAnsi="Times New Roman" w:cs="Times New Roman" w:eastAsiaTheme="minorEastAsia"/>
              </w:rPr>
              <w:t>8</w:t>
            </w:r>
            <w:r>
              <w:rPr>
                <w:rFonts w:ascii="新宋体" w:hAnsi="新宋体" w:eastAsia="新宋体" w:cs="新宋体"/>
                <w:spacing w:val="2"/>
              </w:rPr>
              <w:t>年修</w:t>
            </w:r>
            <w:r>
              <w:rPr>
                <w:rFonts w:ascii="新宋体" w:hAnsi="新宋体" w:eastAsia="新宋体" w:cs="新宋体"/>
              </w:rPr>
              <w:t>正</w:t>
            </w:r>
            <w:r>
              <w:rPr>
                <w:rFonts w:ascii="新宋体" w:hAnsi="新宋体" w:eastAsia="新宋体" w:cs="新宋体"/>
                <w:spacing w:val="2"/>
              </w:rPr>
              <w:t>版）中的有</w:t>
            </w:r>
            <w:r>
              <w:rPr>
                <w:rFonts w:ascii="新宋体" w:hAnsi="新宋体" w:eastAsia="新宋体" w:cs="新宋体"/>
              </w:rPr>
              <w:t>关</w:t>
            </w:r>
            <w:r>
              <w:rPr>
                <w:rFonts w:ascii="新宋体" w:hAnsi="新宋体" w:eastAsia="新宋体" w:cs="新宋体"/>
                <w:spacing w:val="2"/>
              </w:rPr>
              <w:t>规定</w:t>
            </w:r>
            <w:r>
              <w:rPr>
                <w:rFonts w:hint="eastAsia" w:ascii="新宋体" w:hAnsi="新宋体" w:eastAsia="新宋体" w:cs="新宋体"/>
                <w:spacing w:val="2"/>
              </w:rPr>
              <w:t>，</w:t>
            </w:r>
            <w:r>
              <w:rPr>
                <w:rFonts w:ascii="新宋体" w:hAnsi="新宋体" w:eastAsia="新宋体" w:cs="新宋体"/>
                <w:spacing w:val="2"/>
              </w:rPr>
              <w:t>本项目应开展环境影响评价工作</w:t>
            </w:r>
            <w:r>
              <w:rPr>
                <w:rFonts w:hint="eastAsia" w:ascii="新宋体" w:hAnsi="新宋体" w:eastAsia="新宋体" w:cs="新宋体"/>
                <w:spacing w:val="2"/>
              </w:rPr>
              <w:t>。</w:t>
            </w:r>
            <w:r>
              <w:rPr>
                <w:rFonts w:ascii="新宋体" w:hAnsi="新宋体" w:eastAsia="新宋体" w:cs="新宋体"/>
                <w:spacing w:val="2"/>
              </w:rPr>
              <w:t>根据《建</w:t>
            </w:r>
            <w:r>
              <w:rPr>
                <w:rFonts w:ascii="新宋体" w:hAnsi="新宋体" w:eastAsia="新宋体" w:cs="新宋体"/>
              </w:rPr>
              <w:t>设</w:t>
            </w:r>
            <w:r>
              <w:rPr>
                <w:rFonts w:ascii="新宋体" w:hAnsi="新宋体" w:eastAsia="新宋体" w:cs="新宋体"/>
                <w:spacing w:val="2"/>
              </w:rPr>
              <w:t>项目环境影</w:t>
            </w:r>
            <w:r>
              <w:rPr>
                <w:rFonts w:ascii="新宋体" w:hAnsi="新宋体" w:eastAsia="新宋体" w:cs="新宋体"/>
              </w:rPr>
              <w:t>响</w:t>
            </w:r>
            <w:r>
              <w:rPr>
                <w:rFonts w:ascii="新宋体" w:hAnsi="新宋体" w:eastAsia="新宋体" w:cs="新宋体"/>
                <w:spacing w:val="2"/>
              </w:rPr>
              <w:t>评价分</w:t>
            </w:r>
            <w:r>
              <w:rPr>
                <w:rFonts w:ascii="新宋体" w:hAnsi="新宋体" w:eastAsia="新宋体" w:cs="新宋体"/>
              </w:rPr>
              <w:t>类管理名录</w:t>
            </w:r>
            <w:r>
              <w:rPr>
                <w:rFonts w:ascii="新宋体" w:hAnsi="新宋体" w:eastAsia="新宋体" w:cs="新宋体"/>
                <w:spacing w:val="-27"/>
              </w:rPr>
              <w:t>》</w:t>
            </w:r>
            <w:r>
              <w:rPr>
                <w:rFonts w:ascii="新宋体" w:hAnsi="新宋体" w:eastAsia="新宋体" w:cs="新宋体"/>
              </w:rPr>
              <w:t>（</w:t>
            </w:r>
            <w:r>
              <w:rPr>
                <w:rFonts w:ascii="Times New Roman" w:hAnsi="Times New Roman" w:eastAsia="Times New Roman" w:cs="Times New Roman"/>
              </w:rPr>
              <w:t>2017</w:t>
            </w:r>
            <w:r>
              <w:rPr>
                <w:rFonts w:ascii="新宋体" w:hAnsi="新宋体" w:eastAsia="新宋体" w:cs="新宋体"/>
              </w:rPr>
              <w:t>年</w:t>
            </w:r>
            <w:r>
              <w:rPr>
                <w:rFonts w:ascii="Times New Roman" w:hAnsi="Times New Roman" w:eastAsia="Times New Roman" w:cs="Times New Roman"/>
              </w:rPr>
              <w:t>10</w:t>
            </w:r>
            <w:r>
              <w:rPr>
                <w:rFonts w:ascii="新宋体" w:hAnsi="新宋体" w:eastAsia="新宋体" w:cs="新宋体"/>
              </w:rPr>
              <w:t>月</w:t>
            </w:r>
            <w:r>
              <w:rPr>
                <w:rFonts w:ascii="Times New Roman" w:hAnsi="Times New Roman" w:eastAsia="Times New Roman" w:cs="Times New Roman"/>
              </w:rPr>
              <w:t>1</w:t>
            </w:r>
            <w:r>
              <w:rPr>
                <w:rFonts w:ascii="新宋体" w:hAnsi="新宋体" w:eastAsia="新宋体" w:cs="新宋体"/>
              </w:rPr>
              <w:t>日起施行</w:t>
            </w:r>
            <w:r>
              <w:rPr>
                <w:rFonts w:ascii="新宋体" w:hAnsi="新宋体" w:eastAsia="新宋体" w:cs="新宋体"/>
                <w:spacing w:val="-12"/>
              </w:rPr>
              <w:t>）</w:t>
            </w:r>
            <w:r>
              <w:rPr>
                <w:rFonts w:ascii="新宋体" w:hAnsi="新宋体" w:eastAsia="新宋体" w:cs="新宋体"/>
              </w:rPr>
              <w:t>及关于修</w:t>
            </w:r>
            <w:r>
              <w:rPr>
                <w:rFonts w:ascii="新宋体" w:hAnsi="新宋体" w:eastAsia="新宋体" w:cs="新宋体"/>
                <w:spacing w:val="-12"/>
              </w:rPr>
              <w:t>改</w:t>
            </w:r>
            <w:r>
              <w:rPr>
                <w:rFonts w:ascii="新宋体" w:hAnsi="新宋体" w:eastAsia="新宋体" w:cs="新宋体"/>
              </w:rPr>
              <w:t>《建设项目环境影响评价分类管理名录</w:t>
            </w:r>
            <w:r>
              <w:rPr>
                <w:rFonts w:ascii="新宋体" w:hAnsi="新宋体" w:eastAsia="新宋体" w:cs="新宋体"/>
                <w:spacing w:val="-10"/>
              </w:rPr>
              <w:t>》</w:t>
            </w:r>
            <w:r>
              <w:rPr>
                <w:rFonts w:ascii="新宋体" w:hAnsi="新宋体" w:eastAsia="新宋体" w:cs="新宋体"/>
              </w:rPr>
              <w:t>部分内容的决</w:t>
            </w:r>
            <w:r>
              <w:rPr>
                <w:rFonts w:ascii="新宋体" w:hAnsi="新宋体" w:eastAsia="新宋体" w:cs="新宋体"/>
                <w:spacing w:val="-12"/>
              </w:rPr>
              <w:t>定</w:t>
            </w:r>
            <w:r>
              <w:rPr>
                <w:rFonts w:ascii="新宋体" w:hAnsi="新宋体" w:eastAsia="新宋体" w:cs="新宋体"/>
              </w:rPr>
              <w:t xml:space="preserve">（生态环境部令第 </w:t>
            </w:r>
            <w:r>
              <w:rPr>
                <w:rFonts w:ascii="Times New Roman" w:hAnsi="Times New Roman" w:eastAsia="Times New Roman" w:cs="Times New Roman"/>
              </w:rPr>
              <w:t xml:space="preserve">1 </w:t>
            </w:r>
            <w:r>
              <w:rPr>
                <w:rFonts w:ascii="新宋体" w:hAnsi="新宋体" w:eastAsia="新宋体" w:cs="新宋体"/>
              </w:rPr>
              <w:t>号，</w:t>
            </w:r>
            <w:r>
              <w:rPr>
                <w:rFonts w:ascii="Times New Roman" w:hAnsi="Times New Roman" w:eastAsia="Times New Roman" w:cs="Times New Roman"/>
              </w:rPr>
              <w:t xml:space="preserve">2018 </w:t>
            </w:r>
            <w:r>
              <w:rPr>
                <w:rFonts w:ascii="Times New Roman" w:hAnsi="Times New Roman" w:eastAsia="新宋体" w:cs="Times New Roman"/>
              </w:rPr>
              <w:t>年4月28日</w:t>
            </w:r>
            <w:r>
              <w:rPr>
                <w:rFonts w:ascii="Times New Roman" w:hAnsi="Times New Roman" w:eastAsia="新宋体" w:cs="Times New Roman"/>
                <w:spacing w:val="-10"/>
              </w:rPr>
              <w:t>），</w:t>
            </w:r>
            <w:r>
              <w:rPr>
                <w:rFonts w:hint="eastAsia" w:ascii="新宋体" w:hAnsi="新宋体" w:eastAsia="新宋体" w:cs="新宋体"/>
              </w:rPr>
              <w:t>本扩建项目属于二十四、专用设备制造业”中“70、专用设备制造及维修”中不含电镀或喷漆工业且不属于仅组装的其他类项目，应编制环境影响报告表。</w:t>
            </w:r>
          </w:p>
          <w:p>
            <w:pPr>
              <w:pStyle w:val="24"/>
              <w:adjustRightInd w:val="0"/>
              <w:spacing w:before="0" w:beforeAutospacing="0" w:after="0" w:afterAutospacing="0" w:line="360" w:lineRule="auto"/>
              <w:ind w:firstLine="436" w:firstLineChars="182"/>
              <w:jc w:val="both"/>
              <w:rPr>
                <w:rFonts w:ascii="Times New Roman" w:hAnsi="Times New Roman" w:cs="Times New Roman"/>
                <w:color w:val="000000" w:themeColor="text1"/>
                <w:szCs w:val="20"/>
                <w14:textFill>
                  <w14:solidFill>
                    <w14:schemeClr w14:val="tx1"/>
                  </w14:solidFill>
                </w14:textFill>
              </w:rPr>
            </w:pPr>
            <w:r>
              <w:rPr>
                <w:rFonts w:ascii="Times New Roman" w:hAnsi="Times New Roman" w:cs="Times New Roman"/>
                <w:color w:val="000000" w:themeColor="text1"/>
                <w:szCs w:val="20"/>
                <w14:textFill>
                  <w14:solidFill>
                    <w14:schemeClr w14:val="tx1"/>
                  </w14:solidFill>
                </w14:textFill>
              </w:rPr>
              <w:t>受</w:t>
            </w:r>
            <w:r>
              <w:rPr>
                <w:rFonts w:hint="eastAsia" w:ascii="Times New Roman" w:hAnsi="Times New Roman" w:cs="Times New Roman"/>
                <w:color w:val="000000" w:themeColor="text1"/>
                <w:szCs w:val="20"/>
                <w14:textFill>
                  <w14:solidFill>
                    <w14:schemeClr w14:val="tx1"/>
                  </w14:solidFill>
                </w14:textFill>
              </w:rPr>
              <w:t>新乡市红阳油脂工程技术有限公司</w:t>
            </w:r>
            <w:r>
              <w:rPr>
                <w:rFonts w:ascii="Times New Roman" w:hAnsi="Times New Roman" w:cs="Times New Roman"/>
                <w:color w:val="000000" w:themeColor="text1"/>
                <w:szCs w:val="20"/>
                <w14:textFill>
                  <w14:solidFill>
                    <w14:schemeClr w14:val="tx1"/>
                  </w14:solidFill>
                </w14:textFill>
              </w:rPr>
              <w:t>委托，我公司</w:t>
            </w:r>
            <w:r>
              <w:rPr>
                <w:rFonts w:hint="eastAsia" w:ascii="Times New Roman" w:hAnsi="Times New Roman" w:cs="Times New Roman"/>
                <w:color w:val="000000" w:themeColor="text1"/>
                <w:szCs w:val="20"/>
                <w14:textFill>
                  <w14:solidFill>
                    <w14:schemeClr w14:val="tx1"/>
                  </w14:solidFill>
                </w14:textFill>
              </w:rPr>
              <w:t>北京凯协节能环保科技有限公司</w:t>
            </w:r>
            <w:r>
              <w:rPr>
                <w:rFonts w:ascii="Times New Roman" w:hAnsi="Times New Roman" w:cs="Times New Roman"/>
                <w:color w:val="000000" w:themeColor="text1"/>
                <w:szCs w:val="20"/>
                <w14:textFill>
                  <w14:solidFill>
                    <w14:schemeClr w14:val="tx1"/>
                  </w14:solidFill>
                </w14:textFill>
              </w:rPr>
              <w:t>承担了《</w:t>
            </w:r>
            <w:r>
              <w:rPr>
                <w:rFonts w:hint="eastAsia" w:ascii="Times New Roman" w:hAnsi="Times New Roman" w:cs="Times New Roman"/>
                <w:color w:val="000000" w:themeColor="text1"/>
                <w:szCs w:val="20"/>
                <w14:textFill>
                  <w14:solidFill>
                    <w14:schemeClr w14:val="tx1"/>
                  </w14:solidFill>
                </w14:textFill>
              </w:rPr>
              <w:t>新乡市红阳油脂工程技术有限公司年产300套环保设备关键部件制造项目</w:t>
            </w:r>
            <w:r>
              <w:rPr>
                <w:rFonts w:ascii="Times New Roman" w:hAnsi="Times New Roman" w:cs="Times New Roman"/>
                <w:color w:val="000000" w:themeColor="text1"/>
                <w:szCs w:val="20"/>
                <w14:textFill>
                  <w14:solidFill>
                    <w14:schemeClr w14:val="tx1"/>
                  </w14:solidFill>
                </w14:textFill>
              </w:rPr>
              <w:t>》的环境影响评价工作。</w:t>
            </w:r>
          </w:p>
          <w:p>
            <w:pPr>
              <w:spacing w:line="360" w:lineRule="auto"/>
              <w:rPr>
                <w:rFonts w:ascii="Times New Roman" w:hAnsi="Times New Roman" w:cs="Times New Roman"/>
                <w:b/>
                <w:bCs/>
                <w:color w:val="000000" w:themeColor="text1"/>
                <w:sz w:val="24"/>
                <w:szCs w:val="20"/>
                <w14:textFill>
                  <w14:solidFill>
                    <w14:schemeClr w14:val="tx1"/>
                  </w14:solidFill>
                </w14:textFill>
              </w:rPr>
            </w:pPr>
            <w:r>
              <w:rPr>
                <w:rFonts w:hint="eastAsia" w:ascii="Times New Roman" w:hAnsi="Times New Roman" w:cs="Times New Roman"/>
                <w:b/>
                <w:bCs/>
                <w:color w:val="000000" w:themeColor="text1"/>
                <w:sz w:val="24"/>
                <w:szCs w:val="20"/>
                <w14:textFill>
                  <w14:solidFill>
                    <w14:schemeClr w14:val="tx1"/>
                  </w14:solidFill>
                </w14:textFill>
              </w:rPr>
              <w:t>二、项目建设地点、周围环境</w:t>
            </w:r>
          </w:p>
          <w:p>
            <w:pPr>
              <w:pStyle w:val="24"/>
              <w:adjustRightInd w:val="0"/>
              <w:spacing w:before="0" w:beforeAutospacing="0" w:after="0" w:afterAutospacing="0" w:line="360" w:lineRule="auto"/>
              <w:ind w:firstLine="436" w:firstLineChars="182"/>
              <w:jc w:val="both"/>
              <w:rPr>
                <w:rFonts w:ascii="Times New Roman" w:hAnsi="Times New Roman" w:cs="Times New Roman"/>
              </w:rPr>
            </w:pPr>
            <w:r>
              <w:rPr>
                <w:rFonts w:hint="eastAsia" w:ascii="Times New Roman" w:hAnsi="Times New Roman" w:cs="Times New Roman"/>
              </w:rPr>
              <w:t>本项目选址位于</w:t>
            </w:r>
            <w:r>
              <w:rPr>
                <w:rFonts w:hint="eastAsia" w:ascii="Times New Roman" w:hAnsi="Times New Roman" w:cs="Times New Roman"/>
                <w:color w:val="000000" w:themeColor="text1"/>
                <w14:textFill>
                  <w14:solidFill>
                    <w14:schemeClr w14:val="tx1"/>
                  </w14:solidFill>
                </w14:textFill>
              </w:rPr>
              <w:t>新乡市新乡经济技术开发区支一路与支四路交叉口向东150米</w:t>
            </w:r>
            <w:r>
              <w:rPr>
                <w:rFonts w:hint="eastAsia" w:ascii="Times New Roman" w:hAnsi="Times New Roman" w:cs="Times New Roman"/>
              </w:rPr>
              <w:t>，厂区中心地理坐标为：经度 114°3′50.84″；纬度 35°17′21.29″</w:t>
            </w:r>
            <w:r>
              <w:rPr>
                <w:rFonts w:hint="eastAsia" w:ascii="Times New Roman" w:hAnsi="Times New Roman" w:cs="Times New Roman"/>
                <w:szCs w:val="20"/>
              </w:rPr>
              <w:t>，厂区占地5052</w:t>
            </w:r>
            <w:r>
              <w:rPr>
                <w:rFonts w:ascii="Times New Roman" w:hAnsi="Times New Roman" w:cs="Times New Roman"/>
              </w:rPr>
              <w:t>m</w:t>
            </w:r>
            <w:r>
              <w:rPr>
                <w:rFonts w:ascii="Times New Roman" w:hAnsi="Times New Roman" w:cs="Times New Roman"/>
                <w:vertAlign w:val="superscript"/>
              </w:rPr>
              <w:t>2</w:t>
            </w:r>
            <w:r>
              <w:rPr>
                <w:rFonts w:hint="eastAsia" w:ascii="Times New Roman" w:hAnsi="Times New Roman" w:cs="Times New Roman"/>
              </w:rPr>
              <w:t>。四至范围：厂区东侧为新乡市景宏科技有限公司、北侧为新乡市通用电机有限公司、新乡如兰床上用品有限公司、西侧为河南翔康隧道设备制造有限公司、南侧为支四路。项目地理位置图详见附图1、项目周边环境示意图见附图4。</w:t>
            </w:r>
          </w:p>
          <w:p>
            <w:pPr>
              <w:spacing w:line="360" w:lineRule="auto"/>
              <w:rPr>
                <w:rFonts w:ascii="Times New Roman" w:hAnsi="Times New Roman" w:cs="Times New Roman"/>
                <w:b/>
                <w:bCs/>
                <w:color w:val="000000" w:themeColor="text1"/>
                <w:sz w:val="24"/>
                <w:szCs w:val="20"/>
                <w14:textFill>
                  <w14:solidFill>
                    <w14:schemeClr w14:val="tx1"/>
                  </w14:solidFill>
                </w14:textFill>
              </w:rPr>
            </w:pPr>
            <w:r>
              <w:rPr>
                <w:rFonts w:hint="eastAsia" w:ascii="Times New Roman" w:hAnsi="Times New Roman" w:cs="Times New Roman"/>
                <w:b/>
                <w:bCs/>
                <w:color w:val="000000" w:themeColor="text1"/>
                <w:sz w:val="24"/>
                <w:szCs w:val="20"/>
                <w14:textFill>
                  <w14:solidFill>
                    <w14:schemeClr w14:val="tx1"/>
                  </w14:solidFill>
                </w14:textFill>
              </w:rPr>
              <w:t>三、工程内容及规模</w:t>
            </w:r>
          </w:p>
          <w:p>
            <w:pPr>
              <w:pStyle w:val="24"/>
              <w:tabs>
                <w:tab w:val="left" w:pos="6819"/>
              </w:tabs>
              <w:adjustRightInd w:val="0"/>
              <w:spacing w:before="0" w:beforeAutospacing="0" w:after="0" w:afterAutospacing="0" w:line="360" w:lineRule="auto"/>
              <w:jc w:val="both"/>
              <w:rPr>
                <w:rFonts w:ascii="Times New Roman" w:hAnsi="Times New Roman" w:cs="Times New Roman"/>
                <w:b/>
                <w:bCs/>
                <w:color w:val="000000"/>
              </w:rPr>
            </w:pPr>
            <w:r>
              <w:rPr>
                <w:rFonts w:hint="eastAsia" w:ascii="Times New Roman" w:hAnsi="Times New Roman" w:cs="Times New Roman"/>
                <w:b/>
                <w:bCs/>
              </w:rPr>
              <w:t>1. 项目概况</w:t>
            </w:r>
            <w:r>
              <w:rPr>
                <w:rFonts w:hint="eastAsia" w:ascii="Times New Roman" w:hAnsi="Times New Roman" w:cs="Times New Roman"/>
                <w:b/>
                <w:bCs/>
              </w:rPr>
              <w:tab/>
            </w:r>
          </w:p>
          <w:p>
            <w:pPr>
              <w:snapToGrid w:val="0"/>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项目基本情况见表</w:t>
            </w:r>
            <w:r>
              <w:rPr>
                <w:rFonts w:hint="eastAsia" w:ascii="Times New Roman" w:hAnsi="Times New Roman" w:cs="Times New Roman"/>
                <w:sz w:val="24"/>
                <w:szCs w:val="24"/>
              </w:rPr>
              <w:t>1</w:t>
            </w:r>
            <w:r>
              <w:rPr>
                <w:rFonts w:ascii="Times New Roman" w:hAnsi="Times New Roman" w:cs="Times New Roman"/>
                <w:sz w:val="24"/>
                <w:szCs w:val="24"/>
              </w:rPr>
              <w:t>：</w:t>
            </w:r>
          </w:p>
          <w:p>
            <w:pPr>
              <w:pStyle w:val="10"/>
              <w:spacing w:before="93" w:beforeLines="30" w:after="93" w:afterLines="30"/>
              <w:jc w:val="center"/>
              <w:rPr>
                <w:rFonts w:ascii="Times New Roman" w:hAnsi="Times New Roman" w:cs="Times New Roman"/>
                <w:b/>
                <w:bCs/>
                <w:sz w:val="22"/>
                <w:szCs w:val="22"/>
                <w:lang w:val="pt-BR"/>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w:t>
            </w:r>
            <w:r>
              <w:rPr>
                <w:rFonts w:ascii="Times New Roman" w:hAnsi="Times New Roman" w:cs="Times New Roman"/>
                <w:b/>
                <w:bCs/>
                <w:sz w:val="22"/>
                <w:szCs w:val="22"/>
                <w:lang w:val="pt-BR"/>
              </w:rPr>
              <w:t>项目概况一览表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049"/>
              <w:gridCol w:w="5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7" w:type="dxa"/>
                  <w:tcBorders>
                    <w:tl2br w:val="nil"/>
                    <w:tr2bl w:val="nil"/>
                  </w:tcBorders>
                  <w:vAlign w:val="center"/>
                </w:tcPr>
                <w:p>
                  <w:pPr>
                    <w:spacing w:line="288" w:lineRule="auto"/>
                    <w:jc w:val="center"/>
                    <w:rPr>
                      <w:rFonts w:ascii="Times New Roman" w:hAnsi="Times New Roman" w:cs="Times New Roman"/>
                      <w:b/>
                      <w:sz w:val="21"/>
                      <w:szCs w:val="21"/>
                      <w:lang w:val="pt-BR"/>
                    </w:rPr>
                  </w:pPr>
                  <w:r>
                    <w:rPr>
                      <w:rFonts w:ascii="Times New Roman" w:hAnsi="Times New Roman" w:cs="Times New Roman"/>
                      <w:b/>
                      <w:sz w:val="21"/>
                      <w:szCs w:val="21"/>
                      <w:lang w:val="pt-BR"/>
                    </w:rPr>
                    <w:t>序号</w:t>
                  </w:r>
                </w:p>
              </w:tc>
              <w:tc>
                <w:tcPr>
                  <w:tcW w:w="2183" w:type="dxa"/>
                  <w:tcBorders>
                    <w:tl2br w:val="nil"/>
                    <w:tr2bl w:val="nil"/>
                  </w:tcBorders>
                  <w:vAlign w:val="center"/>
                </w:tcPr>
                <w:p>
                  <w:pPr>
                    <w:spacing w:line="288" w:lineRule="auto"/>
                    <w:jc w:val="center"/>
                    <w:rPr>
                      <w:rFonts w:ascii="Times New Roman" w:hAnsi="Times New Roman" w:cs="Times New Roman"/>
                      <w:b/>
                      <w:sz w:val="21"/>
                      <w:szCs w:val="21"/>
                      <w:lang w:val="pt-BR"/>
                    </w:rPr>
                  </w:pPr>
                  <w:r>
                    <w:rPr>
                      <w:rFonts w:ascii="Times New Roman" w:hAnsi="Times New Roman" w:cs="Times New Roman"/>
                      <w:b/>
                      <w:sz w:val="21"/>
                      <w:szCs w:val="21"/>
                      <w:lang w:val="pt-BR"/>
                    </w:rPr>
                    <w:t>项目</w:t>
                  </w:r>
                </w:p>
              </w:tc>
              <w:tc>
                <w:tcPr>
                  <w:tcW w:w="5941" w:type="dxa"/>
                  <w:tcBorders>
                    <w:tl2br w:val="nil"/>
                    <w:tr2bl w:val="nil"/>
                  </w:tcBorders>
                  <w:vAlign w:val="center"/>
                </w:tcPr>
                <w:p>
                  <w:pPr>
                    <w:spacing w:line="288" w:lineRule="auto"/>
                    <w:jc w:val="center"/>
                    <w:rPr>
                      <w:rFonts w:ascii="Times New Roman" w:hAnsi="Times New Roman" w:cs="Times New Roman"/>
                      <w:b/>
                      <w:sz w:val="21"/>
                      <w:szCs w:val="21"/>
                      <w:lang w:val="pt-BR"/>
                    </w:rPr>
                  </w:pPr>
                  <w:r>
                    <w:rPr>
                      <w:rFonts w:ascii="Times New Roman" w:hAnsi="Times New Roman" w:cs="Times New Roman"/>
                      <w:b/>
                      <w:sz w:val="21"/>
                      <w:szCs w:val="21"/>
                      <w:lang w:val="pt-BR"/>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7"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1</w:t>
                  </w:r>
                </w:p>
              </w:tc>
              <w:tc>
                <w:tcPr>
                  <w:tcW w:w="2183"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项目名称</w:t>
                  </w:r>
                </w:p>
              </w:tc>
              <w:tc>
                <w:tcPr>
                  <w:tcW w:w="5941"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rPr>
                    <w:t>新乡市红阳油脂工程技术有限公司年产300套环保设备关键部件制造项目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7"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2</w:t>
                  </w:r>
                </w:p>
              </w:tc>
              <w:tc>
                <w:tcPr>
                  <w:tcW w:w="2183"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建设性质</w:t>
                  </w:r>
                </w:p>
              </w:tc>
              <w:tc>
                <w:tcPr>
                  <w:tcW w:w="5941"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改扩建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27"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3</w:t>
                  </w:r>
                </w:p>
              </w:tc>
              <w:tc>
                <w:tcPr>
                  <w:tcW w:w="2183"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建设单位</w:t>
                  </w:r>
                </w:p>
              </w:tc>
              <w:tc>
                <w:tcPr>
                  <w:tcW w:w="5941"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rPr>
                    <w:t>新乡市红阳油脂工程技术有限公司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7"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4</w:t>
                  </w:r>
                </w:p>
              </w:tc>
              <w:tc>
                <w:tcPr>
                  <w:tcW w:w="2183"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项目地址</w:t>
                  </w:r>
                </w:p>
              </w:tc>
              <w:tc>
                <w:tcPr>
                  <w:tcW w:w="5941"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rPr>
                    <w:t>新乡市新乡经济技术开发区支一路与支四路交叉口向东150米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7"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5</w:t>
                  </w:r>
                </w:p>
              </w:tc>
              <w:tc>
                <w:tcPr>
                  <w:tcW w:w="2183"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产品方案</w:t>
                  </w:r>
                </w:p>
              </w:tc>
              <w:tc>
                <w:tcPr>
                  <w:tcW w:w="5941"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rPr>
                    <w:t>年产300套环保设备关键部件制造</w:t>
                  </w:r>
                  <w:r>
                    <w:rPr>
                      <w:rFonts w:hint="eastAsia" w:ascii="Times New Roman" w:hAnsi="Times New Roman" w:cs="Times New Roman"/>
                      <w:sz w:val="21"/>
                      <w:szCs w:val="21"/>
                    </w:rPr>
                    <w:t>，即密闭式分级筛分设备300套。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7"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6</w:t>
                  </w:r>
                </w:p>
              </w:tc>
              <w:tc>
                <w:tcPr>
                  <w:tcW w:w="2183"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总投资（万元）</w:t>
                  </w:r>
                </w:p>
              </w:tc>
              <w:tc>
                <w:tcPr>
                  <w:tcW w:w="5941"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7"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7</w:t>
                  </w:r>
                </w:p>
              </w:tc>
              <w:tc>
                <w:tcPr>
                  <w:tcW w:w="2183"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定员</w:t>
                  </w:r>
                </w:p>
              </w:tc>
              <w:tc>
                <w:tcPr>
                  <w:tcW w:w="5941"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定员</w:t>
                  </w:r>
                  <w:r>
                    <w:rPr>
                      <w:rFonts w:ascii="Times New Roman" w:hAnsi="Times New Roman" w:cs="Times New Roman"/>
                      <w:sz w:val="21"/>
                      <w:szCs w:val="21"/>
                    </w:rPr>
                    <w:t>30</w:t>
                  </w:r>
                  <w:r>
                    <w:rPr>
                      <w:rFonts w:ascii="Times New Roman" w:hAnsi="Times New Roman" w:cs="Times New Roman"/>
                      <w:sz w:val="21"/>
                      <w:szCs w:val="21"/>
                      <w:lang w:val="pt-BR"/>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7"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8</w:t>
                  </w:r>
                </w:p>
              </w:tc>
              <w:tc>
                <w:tcPr>
                  <w:tcW w:w="2183"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工作制度</w:t>
                  </w:r>
                </w:p>
              </w:tc>
              <w:tc>
                <w:tcPr>
                  <w:tcW w:w="5941" w:type="dxa"/>
                  <w:tcBorders>
                    <w:tl2br w:val="nil"/>
                    <w:tr2bl w:val="nil"/>
                  </w:tcBorders>
                  <w:vAlign w:val="center"/>
                </w:tcPr>
                <w:p>
                  <w:pPr>
                    <w:spacing w:line="288" w:lineRule="auto"/>
                    <w:jc w:val="center"/>
                    <w:rPr>
                      <w:rFonts w:ascii="Times New Roman" w:hAnsi="Times New Roman" w:cs="Times New Roman"/>
                      <w:sz w:val="21"/>
                      <w:szCs w:val="21"/>
                      <w:lang w:val="pt-BR"/>
                    </w:rPr>
                  </w:pPr>
                  <w:r>
                    <w:rPr>
                      <w:rFonts w:ascii="Times New Roman" w:hAnsi="Times New Roman" w:cs="Times New Roman"/>
                      <w:sz w:val="21"/>
                      <w:szCs w:val="21"/>
                      <w:lang w:val="pt-BR"/>
                    </w:rPr>
                    <w:t>单班生产（</w:t>
                  </w:r>
                  <w:r>
                    <w:rPr>
                      <w:rFonts w:ascii="Times New Roman" w:hAnsi="Times New Roman" w:cs="Times New Roman"/>
                      <w:sz w:val="21"/>
                      <w:szCs w:val="21"/>
                    </w:rPr>
                    <w:t>8h）</w:t>
                  </w:r>
                  <w:r>
                    <w:rPr>
                      <w:rFonts w:ascii="Times New Roman" w:hAnsi="Times New Roman" w:cs="Times New Roman"/>
                      <w:sz w:val="21"/>
                      <w:szCs w:val="21"/>
                      <w:lang w:val="pt-BR"/>
                    </w:rPr>
                    <w:t>，年工作日300天</w:t>
                  </w:r>
                </w:p>
              </w:tc>
            </w:tr>
          </w:tbl>
          <w:p>
            <w:pPr>
              <w:adjustRightInd w:val="0"/>
              <w:snapToGrid w:val="0"/>
              <w:spacing w:before="156" w:beforeLines="50" w:line="360" w:lineRule="auto"/>
              <w:rPr>
                <w:rFonts w:ascii="Times New Roman" w:hAnsi="Times New Roman" w:cs="Times New Roman"/>
                <w:b/>
                <w:bCs/>
                <w:color w:val="000000"/>
                <w:sz w:val="24"/>
                <w:szCs w:val="24"/>
                <w:lang w:val="pt-BR"/>
              </w:rPr>
            </w:pPr>
            <w:r>
              <w:rPr>
                <w:rFonts w:hint="eastAsia" w:ascii="Times New Roman" w:hAnsi="Times New Roman" w:cs="Times New Roman"/>
                <w:b/>
                <w:bCs/>
                <w:sz w:val="24"/>
                <w:szCs w:val="24"/>
              </w:rPr>
              <w:t xml:space="preserve">2. </w:t>
            </w:r>
            <w:r>
              <w:rPr>
                <w:rFonts w:ascii="Times New Roman" w:hAnsi="Times New Roman" w:cs="Times New Roman"/>
                <w:b/>
                <w:bCs/>
                <w:sz w:val="24"/>
                <w:szCs w:val="24"/>
                <w:lang w:val="pt-BR"/>
              </w:rPr>
              <w:t>项目建设情况及项目组成</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经过现场勘查，本项目利用现有厂房进行生产，设备未到位，不具备生产能力。项目现状见图1，项目工程情况见表</w:t>
            </w:r>
            <w:r>
              <w:rPr>
                <w:rFonts w:hint="eastAsia" w:ascii="Times New Roman" w:hAnsi="Times New Roman" w:cs="Times New Roman"/>
                <w:sz w:val="24"/>
                <w:szCs w:val="24"/>
              </w:rPr>
              <w:t>2</w:t>
            </w:r>
            <w:r>
              <w:rPr>
                <w:rFonts w:ascii="Times New Roman" w:hAnsi="Times New Roman" w:cs="Times New Roman"/>
                <w:sz w:val="24"/>
                <w:szCs w:val="24"/>
              </w:rPr>
              <w:t>。</w:t>
            </w:r>
          </w:p>
          <w:p>
            <w:pPr>
              <w:spacing w:line="460" w:lineRule="exact"/>
              <w:ind w:firstLine="480" w:firstLineChars="200"/>
              <w:rPr>
                <w:rFonts w:ascii="Times New Roman" w:hAnsi="Times New Roman" w:cs="Times New Roman"/>
                <w:sz w:val="24"/>
              </w:rPr>
            </w:pPr>
            <w:r>
              <w:rPr>
                <w:rFonts w:ascii="Times New Roman" w:hAnsi="Times New Roman" w:cs="Times New Roman"/>
                <w:sz w:val="24"/>
              </w:rPr>
              <w:drawing>
                <wp:anchor distT="0" distB="0" distL="114300" distR="114300" simplePos="0" relativeHeight="252475392" behindDoc="0" locked="0" layoutInCell="1" allowOverlap="1">
                  <wp:simplePos x="0" y="0"/>
                  <wp:positionH relativeFrom="column">
                    <wp:posOffset>2806065</wp:posOffset>
                  </wp:positionH>
                  <wp:positionV relativeFrom="paragraph">
                    <wp:posOffset>203200</wp:posOffset>
                  </wp:positionV>
                  <wp:extent cx="2468880" cy="1683385"/>
                  <wp:effectExtent l="9525" t="9525" r="10795" b="21590"/>
                  <wp:wrapNone/>
                  <wp:docPr id="11" name="图片 2" descr="C:\Users\007\Desktop\f770e7ea173416fc02489d097eedf89.jpgf770e7ea173416fc02489d097eed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007\Desktop\f770e7ea173416fc02489d097eedf89.jpgf770e7ea173416fc02489d097eedf89"/>
                          <pic:cNvPicPr>
                            <a:picLocks noChangeAspect="1"/>
                          </pic:cNvPicPr>
                        </pic:nvPicPr>
                        <pic:blipFill>
                          <a:blip r:embed="rId9"/>
                          <a:srcRect/>
                          <a:stretch>
                            <a:fillRect/>
                          </a:stretch>
                        </pic:blipFill>
                        <pic:spPr>
                          <a:xfrm>
                            <a:off x="0" y="0"/>
                            <a:ext cx="2468880" cy="1683385"/>
                          </a:xfrm>
                          <a:prstGeom prst="rect">
                            <a:avLst/>
                          </a:prstGeom>
                          <a:noFill/>
                          <a:ln w="9525" cap="flat" cmpd="sng">
                            <a:solidFill>
                              <a:srgbClr val="000001"/>
                            </a:solidFill>
                            <a:prstDash val="solid"/>
                            <a:miter/>
                            <a:headEnd type="none" w="med" len="med"/>
                            <a:tailEnd type="none" w="med" len="med"/>
                          </a:ln>
                        </pic:spPr>
                      </pic:pic>
                    </a:graphicData>
                  </a:graphic>
                </wp:anchor>
              </w:drawing>
            </w:r>
            <w:r>
              <w:rPr>
                <w:rFonts w:ascii="Times New Roman" w:hAnsi="Times New Roman" w:cs="Times New Roman"/>
                <w:sz w:val="24"/>
              </w:rPr>
              <w:drawing>
                <wp:anchor distT="0" distB="0" distL="114300" distR="114300" simplePos="0" relativeHeight="252476416" behindDoc="0" locked="0" layoutInCell="1" allowOverlap="1">
                  <wp:simplePos x="0" y="0"/>
                  <wp:positionH relativeFrom="column">
                    <wp:posOffset>121285</wp:posOffset>
                  </wp:positionH>
                  <wp:positionV relativeFrom="paragraph">
                    <wp:posOffset>203835</wp:posOffset>
                  </wp:positionV>
                  <wp:extent cx="2469515" cy="1694180"/>
                  <wp:effectExtent l="9525" t="9525" r="10160" b="10795"/>
                  <wp:wrapNone/>
                  <wp:docPr id="12" name="图片 1" descr="C:\Users\007\Desktop\a4ada224234a9eeb9a661bd9fb4387e.jpga4ada224234a9eeb9a661bd9fb43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007\Desktop\a4ada224234a9eeb9a661bd9fb4387e.jpga4ada224234a9eeb9a661bd9fb4387e"/>
                          <pic:cNvPicPr>
                            <a:picLocks noChangeAspect="1"/>
                          </pic:cNvPicPr>
                        </pic:nvPicPr>
                        <pic:blipFill>
                          <a:blip r:embed="rId10"/>
                          <a:srcRect/>
                          <a:stretch>
                            <a:fillRect/>
                          </a:stretch>
                        </pic:blipFill>
                        <pic:spPr>
                          <a:xfrm>
                            <a:off x="0" y="0"/>
                            <a:ext cx="2469515" cy="1694180"/>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460" w:lineRule="exact"/>
              <w:ind w:firstLine="480" w:firstLineChars="200"/>
              <w:rPr>
                <w:rFonts w:ascii="Times New Roman" w:hAnsi="Times New Roman" w:cs="Times New Roman"/>
                <w:sz w:val="24"/>
              </w:rPr>
            </w:pPr>
          </w:p>
          <w:p>
            <w:pPr>
              <w:spacing w:line="460" w:lineRule="exact"/>
              <w:ind w:firstLine="480" w:firstLineChars="200"/>
              <w:rPr>
                <w:rFonts w:ascii="Times New Roman" w:hAnsi="Times New Roman" w:cs="Times New Roman"/>
                <w:sz w:val="24"/>
              </w:rPr>
            </w:pPr>
          </w:p>
          <w:p>
            <w:pPr>
              <w:spacing w:line="460" w:lineRule="exact"/>
              <w:ind w:firstLine="480" w:firstLineChars="200"/>
              <w:rPr>
                <w:rFonts w:ascii="Times New Roman" w:hAnsi="Times New Roman" w:cs="Times New Roman"/>
                <w:sz w:val="24"/>
              </w:rPr>
            </w:pPr>
          </w:p>
          <w:p>
            <w:pPr>
              <w:spacing w:line="460" w:lineRule="exact"/>
              <w:ind w:firstLine="480" w:firstLineChars="200"/>
              <w:rPr>
                <w:rFonts w:ascii="Times New Roman" w:hAnsi="Times New Roman" w:cs="Times New Roman"/>
                <w:sz w:val="24"/>
              </w:rPr>
            </w:pPr>
          </w:p>
          <w:p>
            <w:pPr>
              <w:spacing w:line="460" w:lineRule="exact"/>
              <w:ind w:firstLine="480" w:firstLineChars="200"/>
              <w:rPr>
                <w:rFonts w:ascii="Times New Roman" w:hAnsi="Times New Roman" w:cs="Times New Roman"/>
                <w:sz w:val="24"/>
              </w:rPr>
            </w:pPr>
          </w:p>
          <w:p>
            <w:pPr>
              <w:spacing w:line="460" w:lineRule="exact"/>
              <w:rPr>
                <w:rFonts w:ascii="Times New Roman" w:hAnsi="Times New Roman" w:cs="Times New Roman"/>
                <w:sz w:val="24"/>
              </w:rPr>
            </w:pP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图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图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w:t>
            </w:r>
            <w:r>
              <w:rPr>
                <w:rFonts w:ascii="Times New Roman" w:hAnsi="Times New Roman" w:cs="Times New Roman"/>
                <w:b/>
                <w:bCs/>
                <w:sz w:val="22"/>
                <w:szCs w:val="22"/>
              </w:rPr>
              <w:fldChar w:fldCharType="end"/>
            </w:r>
            <w:r>
              <w:rPr>
                <w:rFonts w:hint="eastAsia" w:ascii="Times New Roman" w:hAnsi="Times New Roman" w:eastAsia="宋体" w:cs="Times New Roman"/>
                <w:b/>
                <w:bCs/>
                <w:sz w:val="22"/>
                <w:szCs w:val="22"/>
              </w:rPr>
              <w:t xml:space="preserve"> </w:t>
            </w:r>
            <w:r>
              <w:rPr>
                <w:rFonts w:ascii="Times New Roman" w:hAnsi="Times New Roman" w:cs="Times New Roman"/>
                <w:b/>
                <w:bCs/>
                <w:sz w:val="22"/>
                <w:szCs w:val="22"/>
              </w:rPr>
              <w:t>项目现状图</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2</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工程组成一览表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322"/>
              <w:gridCol w:w="1455"/>
              <w:gridCol w:w="3515"/>
              <w:gridCol w:w="15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tcBorders>
                    <w:tl2br w:val="nil"/>
                    <w:tr2bl w:val="nil"/>
                  </w:tcBorders>
                  <w:vAlign w:val="center"/>
                </w:tcPr>
                <w:p>
                  <w:pPr>
                    <w:pStyle w:val="84"/>
                    <w:adjustRightInd w:val="0"/>
                    <w:snapToGrid w:val="0"/>
                    <w:spacing w:line="288" w:lineRule="auto"/>
                    <w:jc w:val="center"/>
                    <w:rPr>
                      <w:rFonts w:ascii="Times New Roman" w:hAnsi="Times New Roman" w:cs="Times New Roman"/>
                      <w:b/>
                      <w:bCs/>
                    </w:rPr>
                  </w:pPr>
                  <w:r>
                    <w:rPr>
                      <w:rFonts w:ascii="Times New Roman" w:hAnsi="Times New Roman" w:cs="Times New Roman"/>
                      <w:b/>
                      <w:bCs/>
                    </w:rPr>
                    <w:t>序号</w:t>
                  </w:r>
                </w:p>
              </w:tc>
              <w:tc>
                <w:tcPr>
                  <w:tcW w:w="1322" w:type="dxa"/>
                  <w:tcBorders>
                    <w:tl2br w:val="nil"/>
                    <w:tr2bl w:val="nil"/>
                  </w:tcBorders>
                  <w:vAlign w:val="center"/>
                </w:tcPr>
                <w:p>
                  <w:pPr>
                    <w:pStyle w:val="84"/>
                    <w:adjustRightInd w:val="0"/>
                    <w:snapToGrid w:val="0"/>
                    <w:spacing w:line="288" w:lineRule="auto"/>
                    <w:jc w:val="center"/>
                    <w:rPr>
                      <w:rFonts w:ascii="Times New Roman" w:hAnsi="Times New Roman" w:cs="Times New Roman"/>
                      <w:b/>
                      <w:bCs/>
                    </w:rPr>
                  </w:pPr>
                  <w:r>
                    <w:rPr>
                      <w:rFonts w:ascii="Times New Roman" w:hAnsi="Times New Roman" w:cs="Times New Roman"/>
                      <w:b/>
                      <w:bCs/>
                    </w:rPr>
                    <w:t>项目组成</w:t>
                  </w:r>
                </w:p>
              </w:tc>
              <w:tc>
                <w:tcPr>
                  <w:tcW w:w="1455" w:type="dxa"/>
                  <w:tcBorders>
                    <w:tl2br w:val="nil"/>
                    <w:tr2bl w:val="nil"/>
                  </w:tcBorders>
                  <w:vAlign w:val="center"/>
                </w:tcPr>
                <w:p>
                  <w:pPr>
                    <w:pStyle w:val="84"/>
                    <w:adjustRightInd w:val="0"/>
                    <w:snapToGrid w:val="0"/>
                    <w:spacing w:line="288" w:lineRule="auto"/>
                    <w:jc w:val="center"/>
                    <w:rPr>
                      <w:rFonts w:ascii="Times New Roman" w:hAnsi="Times New Roman" w:cs="Times New Roman"/>
                      <w:b/>
                      <w:bCs/>
                    </w:rPr>
                  </w:pPr>
                  <w:r>
                    <w:rPr>
                      <w:rFonts w:ascii="Times New Roman" w:hAnsi="Times New Roman" w:cs="Times New Roman"/>
                      <w:b/>
                      <w:bCs/>
                    </w:rPr>
                    <w:t>工程内容</w:t>
                  </w:r>
                </w:p>
              </w:tc>
              <w:tc>
                <w:tcPr>
                  <w:tcW w:w="3515" w:type="dxa"/>
                  <w:tcBorders>
                    <w:tl2br w:val="nil"/>
                    <w:tr2bl w:val="nil"/>
                  </w:tcBorders>
                  <w:vAlign w:val="center"/>
                </w:tcPr>
                <w:p>
                  <w:pPr>
                    <w:pStyle w:val="84"/>
                    <w:adjustRightInd w:val="0"/>
                    <w:snapToGrid w:val="0"/>
                    <w:spacing w:line="288" w:lineRule="auto"/>
                    <w:jc w:val="center"/>
                    <w:rPr>
                      <w:rFonts w:ascii="Times New Roman" w:hAnsi="Times New Roman" w:cs="Times New Roman"/>
                      <w:b/>
                      <w:bCs/>
                    </w:rPr>
                  </w:pPr>
                  <w:r>
                    <w:rPr>
                      <w:rFonts w:ascii="Times New Roman" w:hAnsi="Times New Roman" w:cs="Times New Roman"/>
                      <w:b/>
                      <w:bCs/>
                    </w:rPr>
                    <w:t>建设内容</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b/>
                      <w:bCs/>
                    </w:rPr>
                  </w:pPr>
                  <w:r>
                    <w:rPr>
                      <w:rFonts w:ascii="Times New Roman" w:hAnsi="Times New Roman"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restart"/>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1</w:t>
                  </w:r>
                </w:p>
              </w:tc>
              <w:tc>
                <w:tcPr>
                  <w:tcW w:w="1322" w:type="dxa"/>
                  <w:vMerge w:val="restart"/>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主体工程</w:t>
                  </w:r>
                </w:p>
              </w:tc>
              <w:tc>
                <w:tcPr>
                  <w:tcW w:w="145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生产车间</w:t>
                  </w:r>
                </w:p>
              </w:tc>
              <w:tc>
                <w:tcPr>
                  <w:tcW w:w="3515" w:type="dxa"/>
                  <w:tcBorders>
                    <w:tl2br w:val="nil"/>
                    <w:tr2bl w:val="nil"/>
                  </w:tcBorders>
                  <w:vAlign w:val="center"/>
                </w:tcPr>
                <w:p>
                  <w:pPr>
                    <w:spacing w:line="288" w:lineRule="auto"/>
                    <w:jc w:val="center"/>
                    <w:rPr>
                      <w:rFonts w:ascii="Times New Roman" w:hAnsi="Times New Roman" w:cs="Times New Roman"/>
                      <w:kern w:val="36"/>
                      <w:sz w:val="21"/>
                      <w:szCs w:val="21"/>
                    </w:rPr>
                  </w:pPr>
                  <w:r>
                    <w:rPr>
                      <w:rFonts w:ascii="Times New Roman" w:hAnsi="Times New Roman" w:cs="Times New Roman"/>
                      <w:kern w:val="36"/>
                      <w:sz w:val="21"/>
                      <w:szCs w:val="21"/>
                    </w:rPr>
                    <w:t>占地面积3000m</w:t>
                  </w:r>
                  <w:r>
                    <w:rPr>
                      <w:rFonts w:ascii="Times New Roman" w:hAnsi="Times New Roman" w:cs="Times New Roman"/>
                      <w:kern w:val="36"/>
                      <w:sz w:val="21"/>
                      <w:szCs w:val="21"/>
                      <w:vertAlign w:val="superscript"/>
                    </w:rPr>
                    <w:t>2</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本次改建项目，利用现有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45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成品间</w:t>
                  </w:r>
                </w:p>
              </w:tc>
              <w:tc>
                <w:tcPr>
                  <w:tcW w:w="3515" w:type="dxa"/>
                  <w:tcBorders>
                    <w:tl2br w:val="nil"/>
                    <w:tr2bl w:val="nil"/>
                  </w:tcBorders>
                  <w:vAlign w:val="center"/>
                </w:tcPr>
                <w:p>
                  <w:pPr>
                    <w:spacing w:line="288" w:lineRule="auto"/>
                    <w:jc w:val="center"/>
                    <w:rPr>
                      <w:rFonts w:ascii="Times New Roman" w:hAnsi="Times New Roman" w:cs="Times New Roman"/>
                      <w:kern w:val="36"/>
                      <w:sz w:val="21"/>
                      <w:szCs w:val="21"/>
                    </w:rPr>
                  </w:pPr>
                  <w:r>
                    <w:rPr>
                      <w:rFonts w:ascii="Times New Roman" w:hAnsi="Times New Roman" w:cs="Times New Roman"/>
                      <w:kern w:val="36"/>
                      <w:sz w:val="21"/>
                      <w:szCs w:val="21"/>
                    </w:rPr>
                    <w:t>占地面积1000m</w:t>
                  </w:r>
                  <w:r>
                    <w:rPr>
                      <w:rFonts w:ascii="Times New Roman" w:hAnsi="Times New Roman" w:cs="Times New Roman"/>
                      <w:kern w:val="36"/>
                      <w:sz w:val="21"/>
                      <w:szCs w:val="21"/>
                      <w:vertAlign w:val="superscript"/>
                    </w:rPr>
                    <w:t>2</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本次扩建项目，利用现有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45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固废间</w:t>
                  </w:r>
                </w:p>
              </w:tc>
              <w:tc>
                <w:tcPr>
                  <w:tcW w:w="3515" w:type="dxa"/>
                  <w:tcBorders>
                    <w:tl2br w:val="nil"/>
                    <w:tr2bl w:val="nil"/>
                  </w:tcBorders>
                  <w:vAlign w:val="center"/>
                </w:tcPr>
                <w:p>
                  <w:pPr>
                    <w:spacing w:line="288" w:lineRule="auto"/>
                    <w:jc w:val="center"/>
                    <w:rPr>
                      <w:rFonts w:ascii="Times New Roman" w:hAnsi="Times New Roman" w:cs="Times New Roman"/>
                      <w:kern w:val="36"/>
                      <w:sz w:val="21"/>
                      <w:szCs w:val="21"/>
                    </w:rPr>
                  </w:pPr>
                  <w:r>
                    <w:rPr>
                      <w:rFonts w:ascii="Times New Roman" w:hAnsi="Times New Roman" w:cs="Times New Roman"/>
                      <w:kern w:val="36"/>
                      <w:sz w:val="21"/>
                      <w:szCs w:val="21"/>
                    </w:rPr>
                    <w:t>占地面积10m</w:t>
                  </w:r>
                  <w:r>
                    <w:rPr>
                      <w:rFonts w:ascii="Times New Roman" w:hAnsi="Times New Roman" w:cs="Times New Roman"/>
                      <w:kern w:val="36"/>
                      <w:sz w:val="21"/>
                      <w:szCs w:val="21"/>
                      <w:vertAlign w:val="superscript"/>
                    </w:rPr>
                    <w:t>2</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本次扩建项目，利用现有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45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危废间</w:t>
                  </w:r>
                </w:p>
              </w:tc>
              <w:tc>
                <w:tcPr>
                  <w:tcW w:w="3515" w:type="dxa"/>
                  <w:tcBorders>
                    <w:tl2br w:val="nil"/>
                    <w:tr2bl w:val="nil"/>
                  </w:tcBorders>
                  <w:vAlign w:val="center"/>
                </w:tcPr>
                <w:p>
                  <w:pPr>
                    <w:spacing w:line="288" w:lineRule="auto"/>
                    <w:jc w:val="center"/>
                    <w:rPr>
                      <w:rFonts w:ascii="Times New Roman" w:hAnsi="Times New Roman" w:cs="Times New Roman"/>
                      <w:kern w:val="36"/>
                      <w:sz w:val="21"/>
                      <w:szCs w:val="21"/>
                    </w:rPr>
                  </w:pPr>
                  <w:r>
                    <w:rPr>
                      <w:rFonts w:ascii="Times New Roman" w:hAnsi="Times New Roman" w:cs="Times New Roman"/>
                      <w:kern w:val="36"/>
                      <w:sz w:val="21"/>
                      <w:szCs w:val="21"/>
                    </w:rPr>
                    <w:t>占地面积</w:t>
                  </w:r>
                  <w:r>
                    <w:rPr>
                      <w:rFonts w:hint="eastAsia" w:ascii="Times New Roman" w:hAnsi="Times New Roman" w:cs="Times New Roman"/>
                      <w:kern w:val="36"/>
                      <w:sz w:val="21"/>
                      <w:szCs w:val="21"/>
                    </w:rPr>
                    <w:t>4</w:t>
                  </w:r>
                  <w:r>
                    <w:rPr>
                      <w:rFonts w:ascii="Times New Roman" w:hAnsi="Times New Roman" w:cs="Times New Roman"/>
                      <w:kern w:val="36"/>
                      <w:sz w:val="21"/>
                      <w:szCs w:val="21"/>
                    </w:rPr>
                    <w:t>m</w:t>
                  </w:r>
                  <w:r>
                    <w:rPr>
                      <w:rFonts w:ascii="Times New Roman" w:hAnsi="Times New Roman" w:cs="Times New Roman"/>
                      <w:kern w:val="36"/>
                      <w:sz w:val="21"/>
                      <w:szCs w:val="21"/>
                      <w:vertAlign w:val="superscript"/>
                    </w:rPr>
                    <w:t>2</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restart"/>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辅助工程</w:t>
                  </w:r>
                </w:p>
              </w:tc>
              <w:tc>
                <w:tcPr>
                  <w:tcW w:w="145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办公室</w:t>
                  </w:r>
                </w:p>
              </w:tc>
              <w:tc>
                <w:tcPr>
                  <w:tcW w:w="351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1座，占地面积260m</w:t>
                  </w:r>
                  <w:r>
                    <w:rPr>
                      <w:rFonts w:ascii="Times New Roman" w:hAnsi="Times New Roman" w:cs="Times New Roman"/>
                      <w:vertAlign w:val="superscript"/>
                    </w:rPr>
                    <w:t>2</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45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食堂</w:t>
                  </w:r>
                </w:p>
              </w:tc>
              <w:tc>
                <w:tcPr>
                  <w:tcW w:w="351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1座，占地面积</w:t>
                  </w:r>
                  <w:r>
                    <w:rPr>
                      <w:rFonts w:hint="eastAsia" w:ascii="Times New Roman" w:hAnsi="Times New Roman" w:cs="Times New Roman"/>
                    </w:rPr>
                    <w:t>40</w:t>
                  </w:r>
                  <w:r>
                    <w:rPr>
                      <w:rFonts w:ascii="Times New Roman" w:hAnsi="Times New Roman" w:cs="Times New Roman"/>
                    </w:rPr>
                    <w:t>m</w:t>
                  </w:r>
                  <w:r>
                    <w:rPr>
                      <w:rFonts w:ascii="Times New Roman" w:hAnsi="Times New Roman" w:cs="Times New Roman"/>
                      <w:vertAlign w:val="superscript"/>
                    </w:rPr>
                    <w:t>2</w:t>
                  </w:r>
                </w:p>
              </w:tc>
              <w:tc>
                <w:tcPr>
                  <w:tcW w:w="1559" w:type="dxa"/>
                  <w:tcBorders>
                    <w:tl2br w:val="nil"/>
                    <w:tr2bl w:val="nil"/>
                  </w:tcBorders>
                  <w:vAlign w:val="center"/>
                </w:tcPr>
                <w:p>
                  <w:pPr>
                    <w:pStyle w:val="84"/>
                    <w:adjustRightInd w:val="0"/>
                    <w:snapToGrid w:val="0"/>
                    <w:spacing w:line="288"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restart"/>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2</w:t>
                  </w:r>
                </w:p>
              </w:tc>
              <w:tc>
                <w:tcPr>
                  <w:tcW w:w="1322" w:type="dxa"/>
                  <w:vMerge w:val="restart"/>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环保工程</w:t>
                  </w:r>
                </w:p>
              </w:tc>
              <w:tc>
                <w:tcPr>
                  <w:tcW w:w="145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废水治理</w:t>
                  </w:r>
                </w:p>
              </w:tc>
              <w:tc>
                <w:tcPr>
                  <w:tcW w:w="351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无生产废水，生活污水排至城市管网</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455" w:type="dxa"/>
                  <w:vMerge w:val="restart"/>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废气治理</w:t>
                  </w:r>
                </w:p>
              </w:tc>
              <w:tc>
                <w:tcPr>
                  <w:tcW w:w="351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bCs/>
                      <w:snapToGrid w:val="0"/>
                      <w:kern w:val="0"/>
                      <w:lang w:val="zh-CN"/>
                    </w:rPr>
                    <w:t>切割、焊接、打磨废气</w:t>
                  </w:r>
                  <w:r>
                    <w:rPr>
                      <w:rFonts w:hint="eastAsia" w:ascii="Times New Roman" w:hAnsi="Times New Roman" w:cs="Times New Roman"/>
                      <w:bCs/>
                      <w:snapToGrid w:val="0"/>
                      <w:kern w:val="0"/>
                    </w:rPr>
                    <w:t>分别</w:t>
                  </w:r>
                  <w:r>
                    <w:rPr>
                      <w:rFonts w:hint="eastAsia" w:ascii="Times New Roman" w:hAnsi="Times New Roman" w:cs="Times New Roman"/>
                      <w:bCs/>
                      <w:snapToGrid w:val="0"/>
                      <w:kern w:val="0"/>
                      <w:lang w:val="zh-CN"/>
                    </w:rPr>
                    <w:t>采用集气罩收集后引致脉冲式袋式除尘器治理后，尾气通过1根15m高排气筒排放</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455"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3515" w:type="dxa"/>
                  <w:tcBorders>
                    <w:tl2br w:val="nil"/>
                    <w:tr2bl w:val="nil"/>
                  </w:tcBorders>
                  <w:shd w:val="clear" w:color="auto" w:fill="auto"/>
                  <w:vAlign w:val="center"/>
                </w:tcPr>
                <w:p>
                  <w:pPr>
                    <w:pStyle w:val="84"/>
                    <w:adjustRightInd w:val="0"/>
                    <w:snapToGrid w:val="0"/>
                    <w:spacing w:line="288" w:lineRule="auto"/>
                    <w:jc w:val="center"/>
                    <w:rPr>
                      <w:rFonts w:ascii="Times New Roman" w:hAnsi="Times New Roman" w:cs="Times New Roman"/>
                      <w:bCs/>
                      <w:snapToGrid w:val="0"/>
                      <w:kern w:val="0"/>
                      <w:lang w:val="zh-CN"/>
                    </w:rPr>
                  </w:pPr>
                  <w:r>
                    <w:rPr>
                      <w:rFonts w:ascii="Times New Roman" w:hAnsi="Times New Roman" w:cs="Times New Roman"/>
                      <w:bCs/>
                      <w:snapToGrid w:val="0"/>
                      <w:kern w:val="0"/>
                      <w:lang w:val="zh-CN"/>
                    </w:rPr>
                    <w:t>油烟净化器</w:t>
                  </w:r>
                </w:p>
              </w:tc>
              <w:tc>
                <w:tcPr>
                  <w:tcW w:w="1559" w:type="dxa"/>
                  <w:tcBorders>
                    <w:tl2br w:val="nil"/>
                    <w:tr2bl w:val="nil"/>
                  </w:tcBorders>
                  <w:shd w:val="clear" w:color="auto" w:fill="auto"/>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455" w:type="dxa"/>
                  <w:vMerge w:val="restart"/>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固废治理</w:t>
                  </w:r>
                </w:p>
              </w:tc>
              <w:tc>
                <w:tcPr>
                  <w:tcW w:w="351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一般固废暂存间1座（10m</w:t>
                  </w:r>
                  <w:r>
                    <w:rPr>
                      <w:rFonts w:ascii="Times New Roman" w:hAnsi="Times New Roman" w:cs="Times New Roman"/>
                      <w:vertAlign w:val="superscript"/>
                    </w:rPr>
                    <w:t>2</w:t>
                  </w:r>
                  <w:r>
                    <w:rPr>
                      <w:rFonts w:ascii="Times New Roman" w:hAnsi="Times New Roman" w:cs="Times New Roman"/>
                    </w:rPr>
                    <w:t>）</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利用现有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455"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351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危废暂存间（</w:t>
                  </w:r>
                  <w:r>
                    <w:rPr>
                      <w:rFonts w:hint="eastAsia" w:ascii="Times New Roman" w:hAnsi="Times New Roman" w:cs="Times New Roman"/>
                    </w:rPr>
                    <w:t>4</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45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噪声</w:t>
                  </w:r>
                </w:p>
              </w:tc>
              <w:tc>
                <w:tcPr>
                  <w:tcW w:w="351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基础减振、厂房隔音、距离衰减</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restart"/>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3</w:t>
                  </w:r>
                </w:p>
              </w:tc>
              <w:tc>
                <w:tcPr>
                  <w:tcW w:w="1322" w:type="dxa"/>
                  <w:vMerge w:val="restart"/>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公用工程</w:t>
                  </w:r>
                </w:p>
              </w:tc>
              <w:tc>
                <w:tcPr>
                  <w:tcW w:w="145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kern w:val="36"/>
                      <w:sz w:val="21"/>
                      <w:szCs w:val="21"/>
                    </w:rPr>
                    <w:t>供水</w:t>
                  </w:r>
                </w:p>
              </w:tc>
              <w:tc>
                <w:tcPr>
                  <w:tcW w:w="351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园区供水</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9"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322"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c>
                <w:tcPr>
                  <w:tcW w:w="1455" w:type="dxa"/>
                  <w:tcBorders>
                    <w:tl2br w:val="nil"/>
                    <w:tr2bl w:val="nil"/>
                  </w:tcBorders>
                  <w:vAlign w:val="center"/>
                </w:tcPr>
                <w:p>
                  <w:pPr>
                    <w:spacing w:line="288" w:lineRule="auto"/>
                    <w:jc w:val="center"/>
                    <w:rPr>
                      <w:rFonts w:ascii="Times New Roman" w:hAnsi="Times New Roman" w:cs="Times New Roman"/>
                      <w:kern w:val="36"/>
                      <w:sz w:val="21"/>
                      <w:szCs w:val="21"/>
                    </w:rPr>
                  </w:pPr>
                  <w:r>
                    <w:rPr>
                      <w:rFonts w:ascii="Times New Roman" w:hAnsi="Times New Roman" w:cs="Times New Roman"/>
                      <w:kern w:val="36"/>
                      <w:sz w:val="21"/>
                      <w:szCs w:val="21"/>
                    </w:rPr>
                    <w:t>供电</w:t>
                  </w:r>
                </w:p>
              </w:tc>
              <w:tc>
                <w:tcPr>
                  <w:tcW w:w="3515"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园区供电</w:t>
                  </w:r>
                </w:p>
              </w:tc>
              <w:tc>
                <w:tcPr>
                  <w:tcW w:w="1559"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w:t>
                  </w:r>
                </w:p>
              </w:tc>
            </w:tr>
          </w:tbl>
          <w:p>
            <w:pPr>
              <w:spacing w:line="360" w:lineRule="auto"/>
              <w:rPr>
                <w:rFonts w:ascii="Times New Roman" w:hAnsi="Times New Roman" w:cs="Times New Roman"/>
                <w:b/>
                <w:bCs/>
                <w:color w:val="000000" w:themeColor="text1"/>
                <w:sz w:val="24"/>
                <w:szCs w:val="20"/>
                <w14:textFill>
                  <w14:solidFill>
                    <w14:schemeClr w14:val="tx1"/>
                  </w14:solidFill>
                </w14:textFill>
              </w:rPr>
            </w:pPr>
            <w:r>
              <w:rPr>
                <w:rFonts w:hint="eastAsia" w:ascii="Times New Roman" w:hAnsi="Times New Roman" w:cs="Times New Roman"/>
                <w:b/>
                <w:bCs/>
                <w:color w:val="000000" w:themeColor="text1"/>
                <w:sz w:val="24"/>
                <w:szCs w:val="20"/>
                <w14:textFill>
                  <w14:solidFill>
                    <w14:schemeClr w14:val="tx1"/>
                  </w14:solidFill>
                </w14:textFill>
              </w:rPr>
              <w:t>3. 项目主要生产设备</w:t>
            </w:r>
          </w:p>
          <w:p>
            <w:pPr>
              <w:adjustRightInd w:val="0"/>
              <w:snapToGrid w:val="0"/>
              <w:spacing w:line="440" w:lineRule="exact"/>
              <w:ind w:firstLine="480" w:firstLineChars="200"/>
              <w:jc w:val="left"/>
              <w:textAlignment w:val="baseline"/>
              <w:rPr>
                <w:rFonts w:cs="Times New Roman"/>
                <w:color w:val="000000" w:themeColor="text1"/>
                <w:highlight w:val="gree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本次改扩建项目生产设备新增切割机、剪板机、折弯机、焊机、卷板机、台钻等，主要设备详见表</w:t>
            </w:r>
            <w:r>
              <w:rPr>
                <w:rFonts w:hint="eastAsia" w:ascii="Times New Roman" w:hAnsi="Times New Roman" w:cs="Times New Roman"/>
                <w:color w:val="000000" w:themeColor="text1"/>
                <w:sz w:val="24"/>
                <w14:textFill>
                  <w14:solidFill>
                    <w14:schemeClr w14:val="tx1"/>
                  </w14:solidFill>
                </w14:textFill>
              </w:rPr>
              <w:t>3。</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项目设备一览表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2701"/>
              <w:gridCol w:w="1797"/>
              <w:gridCol w:w="1489"/>
              <w:gridCol w:w="1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widowControl/>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序列</w:t>
                  </w:r>
                </w:p>
              </w:tc>
              <w:tc>
                <w:tcPr>
                  <w:tcW w:w="2701" w:type="dxa"/>
                  <w:tcBorders>
                    <w:tl2br w:val="nil"/>
                    <w:tr2bl w:val="nil"/>
                  </w:tcBorders>
                  <w:vAlign w:val="center"/>
                </w:tcPr>
                <w:p>
                  <w:pPr>
                    <w:widowControl/>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设备名称</w:t>
                  </w:r>
                </w:p>
              </w:tc>
              <w:tc>
                <w:tcPr>
                  <w:tcW w:w="1797" w:type="dxa"/>
                  <w:tcBorders>
                    <w:tl2br w:val="nil"/>
                    <w:tr2bl w:val="nil"/>
                  </w:tcBorders>
                  <w:vAlign w:val="center"/>
                </w:tcPr>
                <w:p>
                  <w:pPr>
                    <w:widowControl/>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型号</w:t>
                  </w:r>
                </w:p>
              </w:tc>
              <w:tc>
                <w:tcPr>
                  <w:tcW w:w="1489" w:type="dxa"/>
                  <w:tcBorders>
                    <w:tl2br w:val="nil"/>
                    <w:tr2bl w:val="nil"/>
                  </w:tcBorders>
                  <w:vAlign w:val="center"/>
                </w:tcPr>
                <w:p>
                  <w:pPr>
                    <w:widowControl/>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数量(台、套)</w:t>
                  </w:r>
                </w:p>
              </w:tc>
              <w:tc>
                <w:tcPr>
                  <w:tcW w:w="1733" w:type="dxa"/>
                  <w:tcBorders>
                    <w:tl2br w:val="nil"/>
                    <w:tr2bl w:val="nil"/>
                  </w:tcBorders>
                  <w:vAlign w:val="center"/>
                </w:tcPr>
                <w:p>
                  <w:pPr>
                    <w:widowControl/>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8" w:hRule="atLeast"/>
                <w:jc w:val="center"/>
              </w:trPr>
              <w:tc>
                <w:tcPr>
                  <w:tcW w:w="8540" w:type="dxa"/>
                  <w:gridSpan w:val="5"/>
                  <w:tcBorders>
                    <w:tl2br w:val="nil"/>
                    <w:tr2bl w:val="nil"/>
                  </w:tcBorders>
                  <w:vAlign w:val="center"/>
                </w:tcPr>
                <w:p>
                  <w:pPr>
                    <w:widowControl/>
                    <w:spacing w:line="288" w:lineRule="auto"/>
                    <w:jc w:val="center"/>
                    <w:rPr>
                      <w:rFonts w:ascii="Times New Roman" w:hAnsi="Times New Roman" w:cs="Times New Roman"/>
                      <w:bCs/>
                      <w:kern w:val="0"/>
                      <w:sz w:val="21"/>
                      <w:szCs w:val="21"/>
                    </w:rPr>
                  </w:pPr>
                  <w:r>
                    <w:rPr>
                      <w:rFonts w:ascii="Times New Roman" w:hAnsi="Times New Roman" w:cs="Times New Roman"/>
                      <w:b/>
                      <w:bCs/>
                      <w:kern w:val="0"/>
                      <w:sz w:val="21"/>
                      <w:szCs w:val="21"/>
                      <w:u w:val="single"/>
                    </w:rPr>
                    <w:t>现有项目设备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color w:val="000000" w:themeColor="text1"/>
                      <w:sz w:val="21"/>
                      <w:szCs w:val="21"/>
                      <w14:textFill>
                        <w14:solidFill>
                          <w14:schemeClr w14:val="tx1"/>
                        </w14:solidFill>
                      </w14:textFill>
                    </w:rPr>
                    <w:t>1</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钻床</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Z3132</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1733" w:type="dxa"/>
                  <w:vMerge w:val="restart"/>
                  <w:tcBorders>
                    <w:tl2br w:val="nil"/>
                    <w:tr2bl w:val="nil"/>
                  </w:tcBorders>
                  <w:vAlign w:val="center"/>
                </w:tcPr>
                <w:p>
                  <w:pPr>
                    <w:widowControl/>
                    <w:spacing w:line="288" w:lineRule="auto"/>
                    <w:jc w:val="center"/>
                    <w:rPr>
                      <w:rFonts w:ascii="Times New Roman" w:hAnsi="Times New Roman" w:cs="Times New Roman"/>
                      <w:bCs/>
                      <w:kern w:val="0"/>
                      <w:sz w:val="21"/>
                      <w:szCs w:val="21"/>
                    </w:rPr>
                  </w:pPr>
                  <w:r>
                    <w:rPr>
                      <w:rFonts w:hint="eastAsia" w:ascii="Times New Roman" w:hAnsi="Times New Roman" w:cs="Times New Roman"/>
                      <w:bCs/>
                      <w:kern w:val="0"/>
                      <w:sz w:val="21"/>
                      <w:szCs w:val="21"/>
                    </w:rPr>
                    <w:t>钻孔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color w:val="000000" w:themeColor="text1"/>
                      <w:sz w:val="21"/>
                      <w:szCs w:val="21"/>
                      <w14:textFill>
                        <w14:solidFill>
                          <w14:schemeClr w14:val="tx1"/>
                        </w14:solidFill>
                      </w14:textFill>
                    </w:rPr>
                    <w:t>2</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钻床</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Z3132</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color w:val="000000" w:themeColor="text1"/>
                      <w:sz w:val="21"/>
                      <w:szCs w:val="21"/>
                      <w14:textFill>
                        <w14:solidFill>
                          <w14:schemeClr w14:val="tx1"/>
                        </w14:solidFill>
                      </w14:textFill>
                    </w:rPr>
                    <w:t>3</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焊机</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BX315</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1</w:t>
                  </w:r>
                </w:p>
              </w:tc>
              <w:tc>
                <w:tcPr>
                  <w:tcW w:w="1733" w:type="dxa"/>
                  <w:vMerge w:val="restart"/>
                  <w:tcBorders>
                    <w:tl2br w:val="nil"/>
                    <w:tr2bl w:val="nil"/>
                  </w:tcBorders>
                  <w:vAlign w:val="center"/>
                </w:tcPr>
                <w:p>
                  <w:pPr>
                    <w:widowControl/>
                    <w:spacing w:line="288" w:lineRule="auto"/>
                    <w:jc w:val="center"/>
                    <w:rPr>
                      <w:rFonts w:ascii="Times New Roman" w:hAnsi="Times New Roman" w:cs="Times New Roman"/>
                      <w:bCs/>
                      <w:kern w:val="0"/>
                      <w:sz w:val="21"/>
                      <w:szCs w:val="21"/>
                    </w:rPr>
                  </w:pPr>
                  <w:r>
                    <w:rPr>
                      <w:rFonts w:hint="eastAsia" w:ascii="Times New Roman" w:hAnsi="Times New Roman" w:cs="Times New Roman"/>
                      <w:bCs/>
                      <w:kern w:val="0"/>
                      <w:sz w:val="21"/>
                      <w:szCs w:val="21"/>
                    </w:rPr>
                    <w:t>焊接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color w:val="000000" w:themeColor="text1"/>
                      <w:sz w:val="21"/>
                      <w:szCs w:val="21"/>
                      <w14:textFill>
                        <w14:solidFill>
                          <w14:schemeClr w14:val="tx1"/>
                        </w14:solidFill>
                      </w14:textFill>
                    </w:rPr>
                    <w:t>4</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焊机</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NBC-500</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color w:val="000000" w:themeColor="text1"/>
                      <w:sz w:val="21"/>
                      <w:szCs w:val="21"/>
                      <w14:textFill>
                        <w14:solidFill>
                          <w14:schemeClr w14:val="tx1"/>
                        </w14:solidFill>
                      </w14:textFill>
                    </w:rPr>
                    <w:t>5</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卷板机</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JB6*2000</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1</w:t>
                  </w:r>
                </w:p>
              </w:tc>
              <w:tc>
                <w:tcPr>
                  <w:tcW w:w="1733" w:type="dxa"/>
                  <w:tcBorders>
                    <w:tl2br w:val="nil"/>
                    <w:tr2bl w:val="nil"/>
                  </w:tcBorders>
                  <w:vAlign w:val="center"/>
                </w:tcPr>
                <w:p>
                  <w:pPr>
                    <w:widowControl/>
                    <w:spacing w:line="288" w:lineRule="auto"/>
                    <w:jc w:val="center"/>
                    <w:rPr>
                      <w:rFonts w:ascii="Times New Roman" w:hAnsi="Times New Roman" w:cs="Times New Roman"/>
                      <w:bCs/>
                      <w:kern w:val="0"/>
                      <w:sz w:val="21"/>
                      <w:szCs w:val="21"/>
                    </w:rPr>
                  </w:pPr>
                  <w:r>
                    <w:rPr>
                      <w:rFonts w:hint="eastAsia" w:ascii="Times New Roman" w:hAnsi="Times New Roman" w:cs="Times New Roman"/>
                      <w:bCs/>
                      <w:kern w:val="0"/>
                      <w:sz w:val="21"/>
                      <w:szCs w:val="21"/>
                    </w:rPr>
                    <w:t>卷圈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5318" w:type="dxa"/>
                  <w:gridSpan w:val="3"/>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合计</w:t>
                  </w:r>
                </w:p>
              </w:tc>
              <w:tc>
                <w:tcPr>
                  <w:tcW w:w="1489"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5</w:t>
                  </w:r>
                </w:p>
              </w:tc>
              <w:tc>
                <w:tcPr>
                  <w:tcW w:w="1733" w:type="dxa"/>
                  <w:tcBorders>
                    <w:tl2br w:val="nil"/>
                    <w:tr2bl w:val="nil"/>
                  </w:tcBorders>
                  <w:vAlign w:val="center"/>
                </w:tcPr>
                <w:p>
                  <w:pPr>
                    <w:widowControl/>
                    <w:spacing w:line="288" w:lineRule="auto"/>
                    <w:jc w:val="center"/>
                    <w:rPr>
                      <w:rFonts w:ascii="Times New Roman" w:hAnsi="Times New Roman" w:cs="Times New Roman"/>
                      <w:bCs/>
                      <w:kern w:val="0"/>
                      <w:sz w:val="21"/>
                      <w:szCs w:val="21"/>
                    </w:rPr>
                  </w:pPr>
                  <w:r>
                    <w:rPr>
                      <w:rFonts w:hint="eastAsia" w:ascii="Times New Roman" w:hAnsi="Times New Roman" w:cs="Times New Roman"/>
                      <w:bCs/>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540" w:type="dxa"/>
                  <w:gridSpan w:val="5"/>
                  <w:tcBorders>
                    <w:tl2br w:val="nil"/>
                    <w:tr2bl w:val="nil"/>
                  </w:tcBorders>
                  <w:vAlign w:val="center"/>
                </w:tcPr>
                <w:p>
                  <w:pPr>
                    <w:widowControl/>
                    <w:spacing w:line="288" w:lineRule="auto"/>
                    <w:jc w:val="center"/>
                    <w:rPr>
                      <w:rFonts w:ascii="Times New Roman" w:hAnsi="Times New Roman" w:cs="Times New Roman"/>
                      <w:bCs/>
                      <w:kern w:val="0"/>
                      <w:sz w:val="21"/>
                      <w:szCs w:val="21"/>
                    </w:rPr>
                  </w:pPr>
                  <w:r>
                    <w:rPr>
                      <w:rFonts w:hint="eastAsia" w:ascii="Times New Roman" w:hAnsi="Times New Roman" w:cs="Times New Roman"/>
                      <w:b/>
                      <w:bCs/>
                      <w:kern w:val="0"/>
                      <w:sz w:val="21"/>
                      <w:szCs w:val="21"/>
                    </w:rPr>
                    <w:t>扩建</w:t>
                  </w:r>
                  <w:r>
                    <w:rPr>
                      <w:rFonts w:ascii="Times New Roman" w:hAnsi="Times New Roman" w:cs="Times New Roman"/>
                      <w:b/>
                      <w:bCs/>
                      <w:kern w:val="0"/>
                      <w:sz w:val="21"/>
                      <w:szCs w:val="21"/>
                    </w:rPr>
                    <w:t>项目</w:t>
                  </w:r>
                  <w:r>
                    <w:rPr>
                      <w:rFonts w:hint="eastAsia" w:ascii="Times New Roman" w:hAnsi="Times New Roman" w:cs="Times New Roman"/>
                      <w:b/>
                      <w:bCs/>
                      <w:kern w:val="0"/>
                      <w:sz w:val="21"/>
                      <w:szCs w:val="21"/>
                    </w:rPr>
                    <w:t>新增</w:t>
                  </w:r>
                  <w:r>
                    <w:rPr>
                      <w:rFonts w:ascii="Times New Roman" w:hAnsi="Times New Roman" w:cs="Times New Roman"/>
                      <w:b/>
                      <w:bCs/>
                      <w:kern w:val="0"/>
                      <w:sz w:val="21"/>
                      <w:szCs w:val="21"/>
                    </w:rPr>
                    <w:t>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color w:val="000000" w:themeColor="text1"/>
                      <w:sz w:val="21"/>
                      <w:szCs w:val="21"/>
                      <w14:textFill>
                        <w14:solidFill>
                          <w14:schemeClr w14:val="tx1"/>
                        </w14:solidFill>
                      </w14:textFill>
                    </w:rPr>
                    <w:t>1</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行车</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10t</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1</w:t>
                  </w:r>
                </w:p>
              </w:tc>
              <w:tc>
                <w:tcPr>
                  <w:tcW w:w="1733" w:type="dxa"/>
                  <w:vMerge w:val="restart"/>
                  <w:tcBorders>
                    <w:tl2br w:val="nil"/>
                    <w:tr2bl w:val="nil"/>
                  </w:tcBorders>
                  <w:vAlign w:val="center"/>
                </w:tcPr>
                <w:p>
                  <w:pPr>
                    <w:widowControl/>
                    <w:spacing w:line="288" w:lineRule="auto"/>
                    <w:jc w:val="center"/>
                    <w:rPr>
                      <w:rFonts w:ascii="Times New Roman" w:hAnsi="Times New Roman" w:cs="Times New Roman"/>
                      <w:bCs/>
                      <w:kern w:val="0"/>
                      <w:sz w:val="21"/>
                      <w:szCs w:val="21"/>
                    </w:rPr>
                  </w:pPr>
                  <w:r>
                    <w:rPr>
                      <w:rFonts w:hint="eastAsia" w:ascii="Times New Roman" w:hAnsi="Times New Roman" w:cs="Times New Roman"/>
                      <w:bCs/>
                      <w:kern w:val="0"/>
                      <w:sz w:val="21"/>
                      <w:szCs w:val="21"/>
                    </w:rPr>
                    <w:t>外购新增设备，全部置于厂区内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color w:val="000000" w:themeColor="text1"/>
                      <w:sz w:val="21"/>
                      <w:szCs w:val="21"/>
                      <w14:textFill>
                        <w14:solidFill>
                          <w14:schemeClr w14:val="tx1"/>
                        </w14:solidFill>
                      </w14:textFill>
                    </w:rPr>
                    <w:t>2</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行车</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5t</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3</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w:t>
                  </w:r>
                </w:p>
              </w:tc>
              <w:tc>
                <w:tcPr>
                  <w:tcW w:w="2701"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Cs/>
                      <w:kern w:val="0"/>
                      <w:sz w:val="21"/>
                      <w:szCs w:val="21"/>
                    </w:rPr>
                    <w:t>自动割</w:t>
                  </w:r>
                </w:p>
              </w:tc>
              <w:tc>
                <w:tcPr>
                  <w:tcW w:w="1797"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c>
                <w:tcPr>
                  <w:tcW w:w="1489"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color w:val="000000" w:themeColor="text1"/>
                      <w:sz w:val="21"/>
                      <w:szCs w:val="21"/>
                      <w14:textFill>
                        <w14:solidFill>
                          <w14:schemeClr w14:val="tx1"/>
                        </w14:solidFill>
                      </w14:textFill>
                    </w:rPr>
                    <w:t>4</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bCs/>
                      <w:kern w:val="0"/>
                      <w:sz w:val="21"/>
                      <w:szCs w:val="21"/>
                    </w:rPr>
                    <w:t>铣床</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X6128C</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1</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color w:val="000000" w:themeColor="text1"/>
                      <w:sz w:val="21"/>
                      <w:szCs w:val="21"/>
                      <w14:textFill>
                        <w14:solidFill>
                          <w14:schemeClr w14:val="tx1"/>
                        </w14:solidFill>
                      </w14:textFill>
                    </w:rPr>
                    <w:t>5</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车床</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CA6150</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1</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6</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刨床</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1</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7</w:t>
                  </w:r>
                </w:p>
              </w:tc>
              <w:tc>
                <w:tcPr>
                  <w:tcW w:w="2701"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bCs/>
                      <w:kern w:val="0"/>
                      <w:sz w:val="21"/>
                      <w:szCs w:val="21"/>
                    </w:rPr>
                    <w:t>砂轮机</w:t>
                  </w:r>
                </w:p>
              </w:tc>
              <w:tc>
                <w:tcPr>
                  <w:tcW w:w="179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color w:val="000000" w:themeColor="text1"/>
                      <w:sz w:val="21"/>
                      <w:szCs w:val="21"/>
                      <w14:textFill>
                        <w14:solidFill>
                          <w14:schemeClr w14:val="tx1"/>
                        </w14:solidFill>
                      </w14:textFill>
                    </w:rPr>
                    <w:t>/</w:t>
                  </w:r>
                </w:p>
              </w:tc>
              <w:tc>
                <w:tcPr>
                  <w:tcW w:w="1489"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1</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8</w:t>
                  </w:r>
                </w:p>
              </w:tc>
              <w:tc>
                <w:tcPr>
                  <w:tcW w:w="2701"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焊机</w:t>
                  </w:r>
                </w:p>
              </w:tc>
              <w:tc>
                <w:tcPr>
                  <w:tcW w:w="1797"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BX315</w:t>
                  </w:r>
                </w:p>
              </w:tc>
              <w:tc>
                <w:tcPr>
                  <w:tcW w:w="1489"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9</w:t>
                  </w:r>
                </w:p>
              </w:tc>
              <w:tc>
                <w:tcPr>
                  <w:tcW w:w="2701"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磁力钻</w:t>
                  </w:r>
                </w:p>
              </w:tc>
              <w:tc>
                <w:tcPr>
                  <w:tcW w:w="1797"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c>
                <w:tcPr>
                  <w:tcW w:w="1489"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10</w:t>
                  </w:r>
                </w:p>
              </w:tc>
              <w:tc>
                <w:tcPr>
                  <w:tcW w:w="2701"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等离子切割机</w:t>
                  </w:r>
                </w:p>
              </w:tc>
              <w:tc>
                <w:tcPr>
                  <w:tcW w:w="1797"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LGK100</w:t>
                  </w:r>
                </w:p>
              </w:tc>
              <w:tc>
                <w:tcPr>
                  <w:tcW w:w="1489"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11</w:t>
                  </w:r>
                </w:p>
              </w:tc>
              <w:tc>
                <w:tcPr>
                  <w:tcW w:w="2701"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空压机</w:t>
                  </w:r>
                </w:p>
              </w:tc>
              <w:tc>
                <w:tcPr>
                  <w:tcW w:w="1797"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0.9/8</w:t>
                  </w:r>
                </w:p>
              </w:tc>
              <w:tc>
                <w:tcPr>
                  <w:tcW w:w="1489"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12</w:t>
                  </w:r>
                </w:p>
              </w:tc>
              <w:tc>
                <w:tcPr>
                  <w:tcW w:w="2701"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hint="eastAsia" w:ascii="Times New Roman" w:hAnsi="Times New Roman" w:cs="Times New Roman"/>
                      <w:bCs/>
                      <w:kern w:val="0"/>
                      <w:sz w:val="21"/>
                      <w:szCs w:val="21"/>
                    </w:rPr>
                    <w:t>切割机</w:t>
                  </w:r>
                </w:p>
              </w:tc>
              <w:tc>
                <w:tcPr>
                  <w:tcW w:w="1797"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T3G-400</w:t>
                  </w:r>
                </w:p>
              </w:tc>
              <w:tc>
                <w:tcPr>
                  <w:tcW w:w="1489"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20"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13</w:t>
                  </w:r>
                </w:p>
              </w:tc>
              <w:tc>
                <w:tcPr>
                  <w:tcW w:w="2701"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hint="eastAsia" w:ascii="Times New Roman" w:hAnsi="Times New Roman" w:cs="Times New Roman"/>
                      <w:bCs/>
                      <w:kern w:val="0"/>
                      <w:sz w:val="21"/>
                      <w:szCs w:val="21"/>
                    </w:rPr>
                    <w:t>风机</w:t>
                  </w:r>
                </w:p>
              </w:tc>
              <w:tc>
                <w:tcPr>
                  <w:tcW w:w="1797"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c>
                <w:tcPr>
                  <w:tcW w:w="1489"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74" w:hRule="atLeast"/>
                <w:jc w:val="center"/>
              </w:trPr>
              <w:tc>
                <w:tcPr>
                  <w:tcW w:w="820"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14</w:t>
                  </w:r>
                </w:p>
              </w:tc>
              <w:tc>
                <w:tcPr>
                  <w:tcW w:w="2701"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hint="eastAsia" w:ascii="Times New Roman" w:hAnsi="Times New Roman" w:cs="Times New Roman"/>
                      <w:bCs/>
                      <w:kern w:val="0"/>
                      <w:sz w:val="21"/>
                      <w:szCs w:val="21"/>
                    </w:rPr>
                    <w:t>工业吸尘器</w:t>
                  </w:r>
                </w:p>
              </w:tc>
              <w:tc>
                <w:tcPr>
                  <w:tcW w:w="1797"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p>
              </w:tc>
              <w:tc>
                <w:tcPr>
                  <w:tcW w:w="1489"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5318" w:type="dxa"/>
                  <w:gridSpan w:val="3"/>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合计</w:t>
                  </w:r>
                </w:p>
              </w:tc>
              <w:tc>
                <w:tcPr>
                  <w:tcW w:w="1489"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25</w:t>
                  </w:r>
                </w:p>
              </w:tc>
              <w:tc>
                <w:tcPr>
                  <w:tcW w:w="1733" w:type="dxa"/>
                  <w:vMerge w:val="continue"/>
                  <w:tcBorders>
                    <w:tl2br w:val="nil"/>
                    <w:tr2bl w:val="nil"/>
                  </w:tcBorders>
                  <w:vAlign w:val="center"/>
                </w:tcPr>
                <w:p>
                  <w:pPr>
                    <w:widowControl/>
                    <w:spacing w:line="288" w:lineRule="auto"/>
                    <w:jc w:val="center"/>
                    <w:rPr>
                      <w:rFonts w:ascii="Times New Roman" w:hAnsi="Times New Roman" w:cs="Times New Roman"/>
                      <w:bCs/>
                      <w:kern w:val="0"/>
                      <w:sz w:val="21"/>
                      <w:szCs w:val="21"/>
                    </w:rPr>
                  </w:pPr>
                </w:p>
              </w:tc>
            </w:tr>
          </w:tbl>
          <w:p>
            <w:pPr>
              <w:adjustRightInd w:val="0"/>
              <w:snapToGrid w:val="0"/>
              <w:spacing w:before="156" w:beforeLines="50" w:line="360" w:lineRule="auto"/>
              <w:rPr>
                <w:rFonts w:ascii="Times New Roman" w:hAnsi="Times New Roman" w:cs="Times New Roman"/>
                <w:color w:val="000000"/>
                <w:sz w:val="24"/>
                <w:szCs w:val="24"/>
              </w:rPr>
            </w:pPr>
            <w:r>
              <w:rPr>
                <w:rFonts w:hint="eastAsia" w:ascii="Times New Roman" w:hAnsi="Times New Roman" w:cs="Times New Roman"/>
                <w:b/>
                <w:bCs/>
                <w:color w:val="000000" w:themeColor="text1"/>
                <w:sz w:val="24"/>
                <w:szCs w:val="20"/>
                <w14:textFill>
                  <w14:solidFill>
                    <w14:schemeClr w14:val="tx1"/>
                  </w14:solidFill>
                </w14:textFill>
              </w:rPr>
              <w:t>4. 项目主要原辅材料</w:t>
            </w:r>
          </w:p>
          <w:p>
            <w:pPr>
              <w:adjustRightInd w:val="0"/>
              <w:snapToGrid w:val="0"/>
              <w:spacing w:line="360" w:lineRule="auto"/>
              <w:ind w:firstLine="480" w:firstLineChars="200"/>
              <w:textAlignment w:val="baseline"/>
              <w:rPr>
                <w:rFonts w:ascii="Times New Roman" w:hAnsi="Times New Roman" w:cs="Times New Roman"/>
                <w:kern w:val="0"/>
                <w:sz w:val="24"/>
                <w:szCs w:val="24"/>
              </w:rPr>
            </w:pPr>
            <w:r>
              <w:rPr>
                <w:rFonts w:ascii="Times New Roman" w:hAnsi="Times New Roman" w:cs="Times New Roman"/>
                <w:kern w:val="0"/>
                <w:sz w:val="24"/>
                <w:szCs w:val="24"/>
              </w:rPr>
              <w:t>本次改扩建项目现有生产线</w:t>
            </w:r>
            <w:r>
              <w:rPr>
                <w:rFonts w:hint="eastAsia" w:ascii="Times New Roman" w:hAnsi="Times New Roman" w:cs="Times New Roman"/>
                <w:kern w:val="0"/>
                <w:sz w:val="24"/>
                <w:szCs w:val="24"/>
              </w:rPr>
              <w:t>保留，</w:t>
            </w:r>
            <w:r>
              <w:rPr>
                <w:rFonts w:ascii="Times New Roman" w:hAnsi="Times New Roman" w:cs="Times New Roman"/>
                <w:kern w:val="0"/>
                <w:sz w:val="24"/>
                <w:szCs w:val="24"/>
              </w:rPr>
              <w:t>增加</w:t>
            </w:r>
            <w:r>
              <w:rPr>
                <w:rFonts w:hint="eastAsia" w:ascii="Times New Roman" w:hAnsi="Times New Roman" w:cs="Times New Roman"/>
                <w:kern w:val="0"/>
                <w:sz w:val="24"/>
                <w:szCs w:val="24"/>
              </w:rPr>
              <w:t>1条环保设备关键部件</w:t>
            </w:r>
            <w:r>
              <w:rPr>
                <w:rFonts w:ascii="Times New Roman" w:hAnsi="Times New Roman" w:cs="Times New Roman"/>
                <w:kern w:val="0"/>
                <w:sz w:val="24"/>
                <w:szCs w:val="24"/>
              </w:rPr>
              <w:t>生产线。主要原辅材料和能源消耗量见表</w:t>
            </w:r>
            <w:r>
              <w:rPr>
                <w:rFonts w:hint="eastAsia" w:ascii="Times New Roman" w:hAnsi="Times New Roman" w:cs="Times New Roman"/>
                <w:kern w:val="0"/>
                <w:sz w:val="24"/>
                <w:szCs w:val="24"/>
              </w:rPr>
              <w:t>4</w:t>
            </w:r>
            <w:r>
              <w:rPr>
                <w:rFonts w:ascii="Times New Roman" w:hAnsi="Times New Roman" w:cs="Times New Roman"/>
                <w:kern w:val="0"/>
                <w:sz w:val="24"/>
                <w:szCs w:val="24"/>
              </w:rPr>
              <w:t>。</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w:t>
            </w:r>
            <w:r>
              <w:rPr>
                <w:rFonts w:hint="eastAsia" w:ascii="Times New Roman" w:hAnsi="Times New Roman" w:cs="Times New Roman"/>
                <w:b/>
                <w:bCs/>
                <w:kern w:val="0"/>
                <w:sz w:val="21"/>
                <w:szCs w:val="21"/>
              </w:rPr>
              <w:t>项目</w:t>
            </w:r>
            <w:r>
              <w:rPr>
                <w:rFonts w:ascii="Times New Roman" w:hAnsi="Times New Roman" w:cs="Times New Roman"/>
                <w:b/>
                <w:bCs/>
                <w:sz w:val="22"/>
                <w:szCs w:val="22"/>
              </w:rPr>
              <w:t>主要原辅材料和能源消耗量一览表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2215"/>
              <w:gridCol w:w="3167"/>
              <w:gridCol w:w="2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b/>
                      <w:bCs/>
                    </w:rPr>
                  </w:pPr>
                  <w:r>
                    <w:rPr>
                      <w:rFonts w:ascii="Times New Roman" w:hAnsi="Times New Roman" w:cs="Times New Roman"/>
                      <w:b/>
                      <w:bCs/>
                    </w:rPr>
                    <w:t>序号</w:t>
                  </w:r>
                </w:p>
              </w:tc>
              <w:tc>
                <w:tcPr>
                  <w:tcW w:w="2215" w:type="dxa"/>
                  <w:tcBorders>
                    <w:tl2br w:val="nil"/>
                    <w:tr2bl w:val="nil"/>
                  </w:tcBorders>
                  <w:vAlign w:val="center"/>
                </w:tcPr>
                <w:p>
                  <w:pPr>
                    <w:pStyle w:val="84"/>
                    <w:adjustRightInd w:val="0"/>
                    <w:snapToGrid w:val="0"/>
                    <w:spacing w:line="288" w:lineRule="auto"/>
                    <w:jc w:val="center"/>
                    <w:rPr>
                      <w:rFonts w:ascii="Times New Roman" w:hAnsi="Times New Roman" w:cs="Times New Roman"/>
                      <w:b/>
                      <w:bCs/>
                    </w:rPr>
                  </w:pPr>
                  <w:r>
                    <w:rPr>
                      <w:rFonts w:ascii="Times New Roman" w:hAnsi="Times New Roman" w:cs="Times New Roman"/>
                      <w:b/>
                      <w:bCs/>
                    </w:rPr>
                    <w:t>原辅料名称</w:t>
                  </w:r>
                </w:p>
              </w:tc>
              <w:tc>
                <w:tcPr>
                  <w:tcW w:w="3167" w:type="dxa"/>
                  <w:tcBorders>
                    <w:tl2br w:val="nil"/>
                    <w:tr2bl w:val="nil"/>
                  </w:tcBorders>
                  <w:vAlign w:val="center"/>
                </w:tcPr>
                <w:p>
                  <w:pPr>
                    <w:pStyle w:val="84"/>
                    <w:adjustRightInd w:val="0"/>
                    <w:snapToGrid w:val="0"/>
                    <w:spacing w:line="288" w:lineRule="auto"/>
                    <w:jc w:val="center"/>
                    <w:rPr>
                      <w:rFonts w:ascii="Times New Roman" w:hAnsi="Times New Roman" w:cs="Times New Roman"/>
                      <w:b/>
                      <w:bCs/>
                    </w:rPr>
                  </w:pPr>
                  <w:r>
                    <w:rPr>
                      <w:rFonts w:ascii="Times New Roman" w:hAnsi="Times New Roman" w:cs="Times New Roman"/>
                      <w:b/>
                      <w:bCs/>
                      <w:kern w:val="36"/>
                    </w:rPr>
                    <w:t>年使用量</w:t>
                  </w:r>
                </w:p>
              </w:tc>
              <w:tc>
                <w:tcPr>
                  <w:tcW w:w="2173" w:type="dxa"/>
                  <w:tcBorders>
                    <w:tl2br w:val="nil"/>
                    <w:tr2bl w:val="nil"/>
                  </w:tcBorders>
                  <w:vAlign w:val="center"/>
                </w:tcPr>
                <w:p>
                  <w:pPr>
                    <w:pStyle w:val="84"/>
                    <w:adjustRightInd w:val="0"/>
                    <w:snapToGrid w:val="0"/>
                    <w:spacing w:line="288" w:lineRule="auto"/>
                    <w:jc w:val="center"/>
                    <w:rPr>
                      <w:rFonts w:ascii="Times New Roman" w:hAnsi="Times New Roman" w:cs="Times New Roman"/>
                      <w:b/>
                      <w:bCs/>
                    </w:rPr>
                  </w:pPr>
                  <w:r>
                    <w:rPr>
                      <w:rFonts w:hint="eastAsia" w:ascii="Times New Roman" w:hAnsi="Times New Roman" w:cs="Times New Roman"/>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7" w:type="dxa"/>
                  <w:gridSpan w:val="4"/>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b/>
                      <w:bCs/>
                      <w:kern w:val="0"/>
                      <w:u w:val="single"/>
                    </w:rPr>
                    <w:t>现有项目</w:t>
                  </w:r>
                  <w:r>
                    <w:rPr>
                      <w:rFonts w:hint="eastAsia" w:ascii="Times New Roman" w:hAnsi="Times New Roman" w:cs="Times New Roman"/>
                      <w:b/>
                      <w:bCs/>
                      <w:kern w:val="0"/>
                      <w:u w:val="single"/>
                    </w:rPr>
                    <w:t>原辅料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1</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sz w:val="21"/>
                      <w:szCs w:val="21"/>
                    </w:rPr>
                    <w:t>钢板</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10</w:t>
                  </w:r>
                  <w:r>
                    <w:rPr>
                      <w:rFonts w:hint="eastAsia" w:ascii="Times New Roman" w:hAnsi="Times New Roman" w:cs="Times New Roman"/>
                      <w:sz w:val="21"/>
                      <w:szCs w:val="21"/>
                    </w:rPr>
                    <w:t xml:space="preserve"> t</w:t>
                  </w:r>
                </w:p>
              </w:tc>
              <w:tc>
                <w:tcPr>
                  <w:tcW w:w="2173" w:type="dxa"/>
                  <w:vMerge w:val="restart"/>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2</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sz w:val="21"/>
                      <w:szCs w:val="21"/>
                    </w:rPr>
                    <w:t>角钢</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5</w:t>
                  </w:r>
                  <w:r>
                    <w:rPr>
                      <w:rFonts w:hint="eastAsia" w:ascii="Times New Roman" w:hAnsi="Times New Roman" w:cs="Times New Roman"/>
                      <w:sz w:val="21"/>
                      <w:szCs w:val="21"/>
                    </w:rPr>
                    <w:t xml:space="preserve"> t</w:t>
                  </w:r>
                </w:p>
              </w:tc>
              <w:tc>
                <w:tcPr>
                  <w:tcW w:w="2173"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3</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sz w:val="21"/>
                      <w:szCs w:val="21"/>
                    </w:rPr>
                    <w:t>钢管</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8 t</w:t>
                  </w:r>
                </w:p>
              </w:tc>
              <w:tc>
                <w:tcPr>
                  <w:tcW w:w="2173"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4</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焊条</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0.5t</w:t>
                  </w:r>
                </w:p>
              </w:tc>
              <w:tc>
                <w:tcPr>
                  <w:tcW w:w="2173" w:type="dxa"/>
                  <w:vMerge w:val="continue"/>
                  <w:tcBorders>
                    <w:tl2br w:val="nil"/>
                    <w:tr2bl w:val="nil"/>
                  </w:tcBorders>
                  <w:vAlign w:val="center"/>
                </w:tcPr>
                <w:p>
                  <w:pPr>
                    <w:pStyle w:val="84"/>
                    <w:adjustRightInd w:val="0"/>
                    <w:snapToGrid w:val="0"/>
                    <w:spacing w:line="288" w:lineRule="auto"/>
                    <w:jc w:val="center"/>
                    <w:rPr>
                      <w:rFonts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7" w:type="dxa"/>
                  <w:gridSpan w:val="4"/>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b/>
                      <w:bCs/>
                      <w:kern w:val="0"/>
                    </w:rPr>
                    <w:t>扩建项目原辅料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1</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不锈钢板</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90吨</w:t>
                  </w:r>
                </w:p>
              </w:tc>
              <w:tc>
                <w:tcPr>
                  <w:tcW w:w="2173"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ascii="Times New Roman" w:hAnsi="Times New Roman" w:cs="Times New Roman"/>
                    </w:rPr>
                    <w:t>2</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碳钢板</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6吨</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3</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型钢</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15吨</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槽钢、角钢、圆管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4</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氩弧焊丝</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2吨</w:t>
                  </w:r>
                </w:p>
              </w:tc>
              <w:tc>
                <w:tcPr>
                  <w:tcW w:w="2173"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20kg/盘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5</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二保焊丝</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1吨</w:t>
                  </w:r>
                </w:p>
              </w:tc>
              <w:tc>
                <w:tcPr>
                  <w:tcW w:w="2173"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20kg/盘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6</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焊条</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0.5吨</w:t>
                  </w:r>
                </w:p>
              </w:tc>
              <w:tc>
                <w:tcPr>
                  <w:tcW w:w="2173"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7</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氩气</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200L</w:t>
                  </w:r>
                </w:p>
              </w:tc>
              <w:tc>
                <w:tcPr>
                  <w:tcW w:w="2173"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8</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二氧化碳</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100L</w:t>
                  </w:r>
                </w:p>
              </w:tc>
              <w:tc>
                <w:tcPr>
                  <w:tcW w:w="2173"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40L/瓶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9</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电机</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300套</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10</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减速机</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300套</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11</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链条</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300套</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12</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弹簧</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300套</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13</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法兰</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300套</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14</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筛网</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300套</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15</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网件</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300套</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16</w:t>
                  </w:r>
                </w:p>
              </w:tc>
              <w:tc>
                <w:tcPr>
                  <w:tcW w:w="2215"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螺栓</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300套</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19</w:t>
                  </w:r>
                </w:p>
              </w:tc>
              <w:tc>
                <w:tcPr>
                  <w:tcW w:w="2215"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液压油</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0.1t</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dxa"/>
                  <w:tcBorders>
                    <w:tl2br w:val="nil"/>
                    <w:tr2bl w:val="nil"/>
                  </w:tcBorders>
                  <w:vAlign w:val="center"/>
                </w:tcPr>
                <w:p>
                  <w:pPr>
                    <w:pStyle w:val="84"/>
                    <w:adjustRightInd w:val="0"/>
                    <w:snapToGrid w:val="0"/>
                    <w:spacing w:line="288" w:lineRule="auto"/>
                    <w:jc w:val="center"/>
                    <w:rPr>
                      <w:rFonts w:ascii="Times New Roman" w:hAnsi="Times New Roman" w:cs="Times New Roman"/>
                    </w:rPr>
                  </w:pPr>
                  <w:r>
                    <w:rPr>
                      <w:rFonts w:hint="eastAsia" w:ascii="Times New Roman" w:hAnsi="Times New Roman" w:cs="Times New Roman"/>
                    </w:rPr>
                    <w:t>20</w:t>
                  </w:r>
                </w:p>
              </w:tc>
              <w:tc>
                <w:tcPr>
                  <w:tcW w:w="2215"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润滑油</w:t>
                  </w:r>
                </w:p>
              </w:tc>
              <w:tc>
                <w:tcPr>
                  <w:tcW w:w="3167"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0.06t</w:t>
                  </w:r>
                </w:p>
              </w:tc>
              <w:tc>
                <w:tcPr>
                  <w:tcW w:w="2173"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外购</w:t>
                  </w:r>
                </w:p>
              </w:tc>
            </w:tr>
          </w:tbl>
          <w:p>
            <w:pPr>
              <w:spacing w:line="360" w:lineRule="auto"/>
              <w:rPr>
                <w:rFonts w:ascii="Times New Roman" w:hAnsi="Times New Roman" w:cs="Times New Roman"/>
                <w:b/>
                <w:bCs/>
                <w:color w:val="000000" w:themeColor="text1"/>
                <w:sz w:val="24"/>
                <w:szCs w:val="20"/>
                <w14:textFill>
                  <w14:solidFill>
                    <w14:schemeClr w14:val="tx1"/>
                  </w14:solidFill>
                </w14:textFill>
              </w:rPr>
            </w:pPr>
            <w:r>
              <w:rPr>
                <w:rFonts w:hint="eastAsia" w:ascii="Times New Roman" w:hAnsi="Times New Roman" w:cs="Times New Roman"/>
                <w:b/>
                <w:bCs/>
                <w:color w:val="000000" w:themeColor="text1"/>
                <w:sz w:val="24"/>
                <w:szCs w:val="20"/>
                <w14:textFill>
                  <w14:solidFill>
                    <w14:schemeClr w14:val="tx1"/>
                  </w14:solidFill>
                </w14:textFill>
              </w:rPr>
              <w:t>5. 公用工程</w:t>
            </w:r>
          </w:p>
          <w:p>
            <w:pPr>
              <w:pStyle w:val="26"/>
              <w:tabs>
                <w:tab w:val="left" w:pos="5507"/>
              </w:tabs>
              <w:adjustRightInd w:val="0"/>
              <w:ind w:firstLine="48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 xml:space="preserve">5.1 </w:t>
            </w:r>
            <w:r>
              <w:rPr>
                <w:rFonts w:ascii="Times New Roman" w:hAnsi="Times New Roman" w:eastAsia="宋体"/>
                <w:b w:val="0"/>
                <w:color w:val="000000" w:themeColor="text1"/>
                <w14:textFill>
                  <w14:solidFill>
                    <w14:schemeClr w14:val="tx1"/>
                  </w14:solidFill>
                </w14:textFill>
              </w:rPr>
              <w:t>给排水</w:t>
            </w:r>
          </w:p>
          <w:p>
            <w:pPr>
              <w:adjustRightInd w:val="0"/>
              <w:snapToGrid w:val="0"/>
              <w:spacing w:line="360" w:lineRule="auto"/>
              <w:ind w:firstLine="465"/>
              <w:rPr>
                <w:rFonts w:ascii="Times New Roman" w:hAnsi="Times New Roman" w:cs="Times New Roman"/>
                <w:bCs/>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szCs w:val="24"/>
                <w14:textFill>
                  <w14:solidFill>
                    <w14:schemeClr w14:val="tx1"/>
                  </w14:solidFill>
                </w14:textFill>
              </w:rPr>
              <w:t xml:space="preserve">5.1.1 </w:t>
            </w:r>
            <w:r>
              <w:rPr>
                <w:rFonts w:ascii="Times New Roman" w:hAnsi="Times New Roman" w:cs="Times New Roman"/>
                <w:bCs/>
                <w:color w:val="000000" w:themeColor="text1"/>
                <w:sz w:val="24"/>
                <w:szCs w:val="24"/>
                <w14:textFill>
                  <w14:solidFill>
                    <w14:schemeClr w14:val="tx1"/>
                  </w14:solidFill>
                </w14:textFill>
              </w:rPr>
              <w:t>给水</w:t>
            </w:r>
          </w:p>
          <w:p>
            <w:pPr>
              <w:adjustRightInd w:val="0"/>
              <w:snapToGrid w:val="0"/>
              <w:spacing w:line="360" w:lineRule="auto"/>
              <w:ind w:firstLine="480" w:firstLineChars="200"/>
              <w:rPr>
                <w:rFonts w:ascii="Times New Roman" w:hAnsi="Times New Roman" w:cs="Times New Roman"/>
                <w:color w:val="000000" w:themeColor="text1"/>
                <w:sz w:val="24"/>
                <w:highlight w:val="yellow"/>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w:t>
            </w:r>
            <w:r>
              <w:rPr>
                <w:rFonts w:hint="eastAsia" w:ascii="Times New Roman" w:hAnsi="Times New Roman" w:cs="Times New Roman"/>
                <w:color w:val="000000" w:themeColor="text1"/>
                <w:sz w:val="24"/>
                <w14:textFill>
                  <w14:solidFill>
                    <w14:schemeClr w14:val="tx1"/>
                  </w14:solidFill>
                </w14:textFill>
              </w:rPr>
              <w:t>扩建</w:t>
            </w:r>
            <w:r>
              <w:rPr>
                <w:rFonts w:ascii="Times New Roman" w:hAnsi="Times New Roman" w:cs="Times New Roman"/>
                <w:color w:val="000000" w:themeColor="text1"/>
                <w:sz w:val="24"/>
                <w14:textFill>
                  <w14:solidFill>
                    <w14:schemeClr w14:val="tx1"/>
                  </w14:solidFill>
                </w14:textFill>
              </w:rPr>
              <w:t>项目用水主要为职工办公生活用水</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生活用水量为</w:t>
            </w:r>
            <w:r>
              <w:rPr>
                <w:rFonts w:hint="eastAsia" w:ascii="Times New Roman" w:hAnsi="Times New Roman" w:cs="Times New Roman"/>
                <w:color w:val="000000" w:themeColor="text1"/>
                <w:sz w:val="24"/>
                <w14:textFill>
                  <w14:solidFill>
                    <w14:schemeClr w14:val="tx1"/>
                  </w14:solidFill>
                </w14:textFill>
              </w:rPr>
              <w:t xml:space="preserve">300 t </w:t>
            </w:r>
            <w:r>
              <w:rPr>
                <w:rFonts w:ascii="Times New Roman" w:hAnsi="Times New Roman" w:cs="Times New Roman"/>
                <w:color w:val="000000" w:themeColor="text1"/>
                <w:sz w:val="24"/>
                <w14:textFill>
                  <w14:solidFill>
                    <w14:schemeClr w14:val="tx1"/>
                  </w14:solidFill>
                </w14:textFill>
              </w:rPr>
              <w:t>/a，由</w:t>
            </w:r>
            <w:r>
              <w:rPr>
                <w:rFonts w:hint="eastAsia" w:ascii="Times New Roman" w:hAnsi="Times New Roman" w:cs="Times New Roman"/>
                <w:color w:val="000000" w:themeColor="text1"/>
                <w:sz w:val="24"/>
                <w14:textFill>
                  <w14:solidFill>
                    <w14:schemeClr w14:val="tx1"/>
                  </w14:solidFill>
                </w14:textFill>
              </w:rPr>
              <w:t>市政</w:t>
            </w:r>
            <w:r>
              <w:rPr>
                <w:rFonts w:ascii="Times New Roman" w:hAnsi="Times New Roman" w:cs="Times New Roman"/>
                <w:color w:val="000000" w:themeColor="text1"/>
                <w:sz w:val="24"/>
                <w14:textFill>
                  <w14:solidFill>
                    <w14:schemeClr w14:val="tx1"/>
                  </w14:solidFill>
                </w14:textFill>
              </w:rPr>
              <w:t>供给。</w:t>
            </w:r>
          </w:p>
          <w:p>
            <w:pPr>
              <w:adjustRightInd w:val="0"/>
              <w:snapToGrid w:val="0"/>
              <w:spacing w:line="360" w:lineRule="auto"/>
              <w:ind w:firstLine="465"/>
              <w:rPr>
                <w:rFonts w:ascii="Times New Roman" w:hAnsi="Times New Roman" w:cs="Times New Roman"/>
                <w:bCs/>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szCs w:val="24"/>
                <w14:textFill>
                  <w14:solidFill>
                    <w14:schemeClr w14:val="tx1"/>
                  </w14:solidFill>
                </w14:textFill>
              </w:rPr>
              <w:t xml:space="preserve">5.1.2 </w:t>
            </w:r>
            <w:r>
              <w:rPr>
                <w:rFonts w:ascii="Times New Roman" w:hAnsi="Times New Roman" w:cs="Times New Roman"/>
                <w:bCs/>
                <w:color w:val="000000" w:themeColor="text1"/>
                <w:sz w:val="24"/>
                <w:szCs w:val="24"/>
                <w14:textFill>
                  <w14:solidFill>
                    <w14:schemeClr w14:val="tx1"/>
                  </w14:solidFill>
                </w14:textFill>
              </w:rPr>
              <w:t>排水</w:t>
            </w:r>
          </w:p>
          <w:p>
            <w:pPr>
              <w:adjustRightInd w:val="0"/>
              <w:snapToGrid w:val="0"/>
              <w:spacing w:line="360" w:lineRule="auto"/>
              <w:ind w:firstLine="465"/>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Cs/>
                <w:color w:val="000000" w:themeColor="text1"/>
                <w:kern w:val="0"/>
                <w:sz w:val="24"/>
                <w:szCs w:val="24"/>
                <w14:textFill>
                  <w14:solidFill>
                    <w14:schemeClr w14:val="tx1"/>
                  </w14:solidFill>
                </w14:textFill>
              </w:rPr>
              <w:t>项目无生产废水外排，外排废水主要为</w:t>
            </w:r>
            <w:r>
              <w:rPr>
                <w:rFonts w:hint="eastAsia" w:ascii="Times New Roman" w:hAnsi="Times New Roman" w:cs="Times New Roman"/>
                <w:bCs/>
                <w:color w:val="000000" w:themeColor="text1"/>
                <w:kern w:val="0"/>
                <w:sz w:val="24"/>
                <w:szCs w:val="24"/>
                <w14:textFill>
                  <w14:solidFill>
                    <w14:schemeClr w14:val="tx1"/>
                  </w14:solidFill>
                </w14:textFill>
              </w:rPr>
              <w:t>员工</w:t>
            </w:r>
            <w:r>
              <w:rPr>
                <w:rFonts w:ascii="Times New Roman" w:hAnsi="Times New Roman" w:cs="Times New Roman"/>
                <w:color w:val="000000" w:themeColor="text1"/>
                <w:sz w:val="24"/>
                <w14:textFill>
                  <w14:solidFill>
                    <w14:schemeClr w14:val="tx1"/>
                  </w14:solidFill>
                </w14:textFill>
              </w:rPr>
              <w:t>生活污水，经化粪池处理后</w:t>
            </w:r>
            <w:r>
              <w:rPr>
                <w:rFonts w:hint="eastAsia" w:ascii="Times New Roman" w:hAnsi="Times New Roman" w:cs="Times New Roman"/>
                <w:color w:val="000000" w:themeColor="text1"/>
                <w:sz w:val="24"/>
                <w14:textFill>
                  <w14:solidFill>
                    <w14:schemeClr w14:val="tx1"/>
                  </w14:solidFill>
                </w14:textFill>
              </w:rPr>
              <w:t>通过生活污水管网进入小店污水处理厂二期进一步处理</w:t>
            </w:r>
            <w:r>
              <w:rPr>
                <w:rFonts w:ascii="Times New Roman" w:hAnsi="Times New Roman" w:cs="Times New Roman"/>
                <w:color w:val="000000" w:themeColor="text1"/>
                <w:sz w:val="24"/>
                <w14:textFill>
                  <w14:solidFill>
                    <w14:schemeClr w14:val="tx1"/>
                  </w14:solidFill>
                </w14:textFill>
              </w:rPr>
              <w:t>。</w:t>
            </w:r>
          </w:p>
          <w:p>
            <w:pPr>
              <w:adjustRightInd w:val="0"/>
              <w:snapToGrid w:val="0"/>
              <w:spacing w:line="360" w:lineRule="auto"/>
              <w:ind w:firstLine="465"/>
              <w:rPr>
                <w:rFonts w:ascii="Times New Roman" w:hAnsi="Times New Roman" w:cs="Times New Roman"/>
                <w:bCs/>
                <w:color w:val="000000" w:themeColor="text1"/>
                <w:sz w:val="24"/>
                <w:szCs w:val="24"/>
                <w14:textFill>
                  <w14:solidFill>
                    <w14:schemeClr w14:val="tx1"/>
                  </w14:solidFill>
                </w14:textFill>
              </w:rPr>
            </w:pPr>
            <w:r>
              <w:rPr>
                <w:rFonts w:hint="eastAsia" w:ascii="Times New Roman" w:hAnsi="Times New Roman" w:cs="Times New Roman"/>
                <w:bCs/>
                <w:color w:val="000000" w:themeColor="text1"/>
                <w:sz w:val="24"/>
                <w:szCs w:val="24"/>
                <w14:textFill>
                  <w14:solidFill>
                    <w14:schemeClr w14:val="tx1"/>
                  </w14:solidFill>
                </w14:textFill>
              </w:rPr>
              <w:t xml:space="preserve">5.2 </w:t>
            </w:r>
            <w:r>
              <w:rPr>
                <w:rFonts w:ascii="Times New Roman" w:hAnsi="Times New Roman" w:cs="Times New Roman"/>
                <w:bCs/>
                <w:color w:val="000000" w:themeColor="text1"/>
                <w:sz w:val="24"/>
                <w:szCs w:val="24"/>
                <w14:textFill>
                  <w14:solidFill>
                    <w14:schemeClr w14:val="tx1"/>
                  </w14:solidFill>
                </w14:textFill>
              </w:rPr>
              <w:t>供电</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本扩建项目全年用电量10000 Kw·h，</w:t>
            </w:r>
            <w:r>
              <w:rPr>
                <w:rFonts w:ascii="Times New Roman" w:hAnsi="Times New Roman" w:cs="Times New Roman"/>
                <w:color w:val="000000" w:themeColor="text1"/>
                <w:sz w:val="24"/>
                <w14:textFill>
                  <w14:solidFill>
                    <w14:schemeClr w14:val="tx1"/>
                  </w14:solidFill>
                </w14:textFill>
              </w:rPr>
              <w:t>工程用电由</w:t>
            </w:r>
            <w:r>
              <w:rPr>
                <w:rFonts w:hint="eastAsia" w:ascii="Times New Roman" w:hAnsi="Times New Roman" w:cs="Times New Roman"/>
                <w:color w:val="000000" w:themeColor="text1"/>
                <w:sz w:val="24"/>
                <w14:textFill>
                  <w14:solidFill>
                    <w14:schemeClr w14:val="tx1"/>
                  </w14:solidFill>
                </w14:textFill>
              </w:rPr>
              <w:t>市政</w:t>
            </w:r>
            <w:r>
              <w:rPr>
                <w:rFonts w:ascii="Times New Roman" w:hAnsi="Times New Roman" w:cs="Times New Roman"/>
                <w:color w:val="000000" w:themeColor="text1"/>
                <w:sz w:val="24"/>
                <w14:textFill>
                  <w14:solidFill>
                    <w14:schemeClr w14:val="tx1"/>
                  </w14:solidFill>
                </w14:textFill>
              </w:rPr>
              <w:t>供给。</w:t>
            </w:r>
          </w:p>
          <w:p>
            <w:pPr>
              <w:spacing w:line="360" w:lineRule="auto"/>
              <w:rPr>
                <w:rFonts w:ascii="Times New Roman" w:hAnsi="Times New Roman" w:cs="Times New Roman"/>
                <w:b/>
                <w:bCs/>
                <w:color w:val="000000" w:themeColor="text1"/>
                <w:sz w:val="24"/>
                <w:szCs w:val="20"/>
                <w14:textFill>
                  <w14:solidFill>
                    <w14:schemeClr w14:val="tx1"/>
                  </w14:solidFill>
                </w14:textFill>
              </w:rPr>
            </w:pPr>
            <w:r>
              <w:rPr>
                <w:rFonts w:hint="eastAsia" w:ascii="Times New Roman" w:hAnsi="Times New Roman" w:cs="Times New Roman"/>
                <w:b/>
                <w:bCs/>
                <w:color w:val="000000" w:themeColor="text1"/>
                <w:sz w:val="24"/>
                <w:szCs w:val="20"/>
                <w14:textFill>
                  <w14:solidFill>
                    <w14:schemeClr w14:val="tx1"/>
                  </w14:solidFill>
                </w14:textFill>
              </w:rPr>
              <w:t>6. 建设项目政策符合性</w:t>
            </w:r>
          </w:p>
          <w:p>
            <w:pPr>
              <w:spacing w:line="360" w:lineRule="auto"/>
              <w:ind w:firstLine="480" w:firstLineChars="200"/>
              <w:rPr>
                <w:sz w:val="24"/>
              </w:rPr>
            </w:pPr>
            <w:r>
              <w:rPr>
                <w:rFonts w:hint="eastAsia" w:ascii="Times New Roman" w:hAnsi="Times New Roman" w:cs="Times New Roman"/>
                <w:sz w:val="24"/>
              </w:rPr>
              <w:t xml:space="preserve">6.1 </w:t>
            </w:r>
            <w:r>
              <w:rPr>
                <w:rFonts w:ascii="Times New Roman" w:hAnsi="Times New Roman" w:cs="Times New Roman"/>
                <w:sz w:val="24"/>
              </w:rPr>
              <w:t>本项目</w:t>
            </w:r>
            <w:r>
              <w:rPr>
                <w:sz w:val="24"/>
              </w:rPr>
              <w:t>与发改委备案一致分析</w:t>
            </w:r>
          </w:p>
          <w:p>
            <w:pPr>
              <w:pStyle w:val="24"/>
              <w:adjustRightInd w:val="0"/>
              <w:spacing w:before="0" w:beforeAutospacing="0" w:after="0" w:afterAutospacing="0" w:line="360" w:lineRule="auto"/>
              <w:ind w:firstLine="436" w:firstLineChars="182"/>
              <w:jc w:val="both"/>
              <w:rPr>
                <w:rFonts w:ascii="Times New Roman" w:hAnsi="Times New Roman" w:cs="Times New Roman"/>
                <w:color w:val="000000" w:themeColor="text1"/>
                <w:szCs w:val="20"/>
                <w14:textFill>
                  <w14:solidFill>
                    <w14:schemeClr w14:val="tx1"/>
                  </w14:solidFill>
                </w14:textFill>
              </w:rPr>
            </w:pPr>
            <w:r>
              <w:rPr>
                <w:rFonts w:hint="eastAsia" w:ascii="Times New Roman" w:hAnsi="Times New Roman" w:cs="Times New Roman"/>
                <w:color w:val="000000" w:themeColor="text1"/>
                <w:szCs w:val="20"/>
                <w14:textFill>
                  <w14:solidFill>
                    <w14:schemeClr w14:val="tx1"/>
                  </w14:solidFill>
                </w14:textFill>
              </w:rPr>
              <w:t>本</w:t>
            </w:r>
            <w:r>
              <w:rPr>
                <w:rFonts w:ascii="Times New Roman" w:hAnsi="Times New Roman" w:cs="Times New Roman"/>
                <w:color w:val="000000" w:themeColor="text1"/>
                <w:szCs w:val="20"/>
                <w14:textFill>
                  <w14:solidFill>
                    <w14:schemeClr w14:val="tx1"/>
                  </w14:solidFill>
                </w14:textFill>
              </w:rPr>
              <w:t>项目已在新乡市新乡经济技术开发区发展和改革委员会（经济发展局）备案，项目代码为2020-410772-35-03-006465）。</w:t>
            </w:r>
            <w:r>
              <w:rPr>
                <w:rFonts w:hint="eastAsia" w:ascii="Times New Roman" w:hAnsi="Times New Roman" w:cs="Times New Roman"/>
                <w:color w:val="000000" w:themeColor="text1"/>
                <w:szCs w:val="20"/>
                <w14:textFill>
                  <w14:solidFill>
                    <w14:schemeClr w14:val="tx1"/>
                  </w14:solidFill>
                </w14:textFill>
              </w:rPr>
              <w:t>与备案的一致性分析见表5。</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5</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与发改委备案一致分析</w:t>
            </w:r>
          </w:p>
          <w:tbl>
            <w:tblPr>
              <w:tblStyle w:val="2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96"/>
              <w:gridCol w:w="3217"/>
              <w:gridCol w:w="3208"/>
              <w:gridCol w:w="9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dxa"/>
                  <w:gridSpan w:val="2"/>
                  <w:tcBorders>
                    <w:tl2br w:val="nil"/>
                    <w:tr2bl w:val="nil"/>
                  </w:tcBorders>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3234" w:type="dxa"/>
                  <w:tcBorders>
                    <w:tl2br w:val="nil"/>
                    <w:tr2bl w:val="nil"/>
                  </w:tcBorders>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备案情况</w:t>
                  </w:r>
                </w:p>
              </w:tc>
              <w:tc>
                <w:tcPr>
                  <w:tcW w:w="3225" w:type="dxa"/>
                  <w:tcBorders>
                    <w:tl2br w:val="nil"/>
                    <w:tr2bl w:val="nil"/>
                  </w:tcBorders>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项目情况</w:t>
                  </w:r>
                </w:p>
              </w:tc>
              <w:tc>
                <w:tcPr>
                  <w:tcW w:w="995" w:type="dxa"/>
                  <w:tcBorders>
                    <w:tl2br w:val="nil"/>
                    <w:tr2bl w:val="nil"/>
                  </w:tcBorders>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dxa"/>
                  <w:gridSpan w:val="2"/>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项目名称</w:t>
                  </w:r>
                </w:p>
              </w:tc>
              <w:tc>
                <w:tcPr>
                  <w:tcW w:w="323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年产300套环保设备关键部件制造项目</w:t>
                  </w:r>
                </w:p>
              </w:tc>
              <w:tc>
                <w:tcPr>
                  <w:tcW w:w="322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年产300套环保设备关键部件制造项目</w:t>
                  </w:r>
                </w:p>
              </w:tc>
              <w:tc>
                <w:tcPr>
                  <w:tcW w:w="99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dxa"/>
                  <w:gridSpan w:val="2"/>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建设单位</w:t>
                  </w:r>
                </w:p>
              </w:tc>
              <w:tc>
                <w:tcPr>
                  <w:tcW w:w="323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新乡市红阳油脂工程技术有限公司</w:t>
                  </w:r>
                </w:p>
              </w:tc>
              <w:tc>
                <w:tcPr>
                  <w:tcW w:w="322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新乡市红阳油脂工程技术有限公司</w:t>
                  </w:r>
                </w:p>
              </w:tc>
              <w:tc>
                <w:tcPr>
                  <w:tcW w:w="99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dxa"/>
                  <w:gridSpan w:val="2"/>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投资</w:t>
                  </w:r>
                </w:p>
              </w:tc>
              <w:tc>
                <w:tcPr>
                  <w:tcW w:w="3234"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00万</w:t>
                  </w:r>
                </w:p>
              </w:tc>
              <w:tc>
                <w:tcPr>
                  <w:tcW w:w="3225" w:type="dxa"/>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00万</w:t>
                  </w:r>
                </w:p>
              </w:tc>
              <w:tc>
                <w:tcPr>
                  <w:tcW w:w="99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5" w:type="dxa"/>
                  <w:gridSpan w:val="2"/>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建设地点</w:t>
                  </w:r>
                </w:p>
              </w:tc>
              <w:tc>
                <w:tcPr>
                  <w:tcW w:w="323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新乡市新乡经济技术开发区支一路与支四路交叉口向东150米</w:t>
                  </w:r>
                </w:p>
              </w:tc>
              <w:tc>
                <w:tcPr>
                  <w:tcW w:w="322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新乡市新乡经济技术开发区支一路与支四路交叉口向东150米</w:t>
                  </w:r>
                </w:p>
              </w:tc>
              <w:tc>
                <w:tcPr>
                  <w:tcW w:w="99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dxa"/>
                  <w:vMerge w:val="restar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主要</w:t>
                  </w:r>
                </w:p>
                <w:p>
                  <w:pPr>
                    <w:spacing w:line="288" w:lineRule="auto"/>
                    <w:jc w:val="center"/>
                    <w:rPr>
                      <w:rFonts w:ascii="Times New Roman" w:hAnsi="Times New Roman" w:cs="Times New Roman"/>
                      <w:sz w:val="21"/>
                      <w:szCs w:val="21"/>
                    </w:rPr>
                  </w:pPr>
                  <w:r>
                    <w:rPr>
                      <w:rFonts w:ascii="Times New Roman" w:hAnsi="Times New Roman" w:cs="Times New Roman"/>
                      <w:sz w:val="21"/>
                      <w:szCs w:val="21"/>
                    </w:rPr>
                    <w:t>建设</w:t>
                  </w:r>
                </w:p>
                <w:p>
                  <w:pPr>
                    <w:spacing w:line="288" w:lineRule="auto"/>
                    <w:jc w:val="center"/>
                    <w:rPr>
                      <w:rFonts w:ascii="Times New Roman" w:hAnsi="Times New Roman" w:cs="Times New Roman"/>
                      <w:sz w:val="21"/>
                      <w:szCs w:val="21"/>
                    </w:rPr>
                  </w:pPr>
                  <w:r>
                    <w:rPr>
                      <w:rFonts w:ascii="Times New Roman" w:hAnsi="Times New Roman" w:cs="Times New Roman"/>
                      <w:sz w:val="21"/>
                      <w:szCs w:val="21"/>
                    </w:rPr>
                    <w:t>内容</w:t>
                  </w:r>
                </w:p>
              </w:tc>
              <w:tc>
                <w:tcPr>
                  <w:tcW w:w="699"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生产设备</w:t>
                  </w:r>
                </w:p>
              </w:tc>
              <w:tc>
                <w:tcPr>
                  <w:tcW w:w="3234" w:type="dxa"/>
                  <w:tcBorders>
                    <w:tl2br w:val="nil"/>
                    <w:tr2bl w:val="nil"/>
                  </w:tcBorders>
                  <w:vAlign w:val="center"/>
                </w:tcPr>
                <w:p>
                  <w:pPr>
                    <w:spacing w:line="288" w:lineRule="auto"/>
                    <w:jc w:val="center"/>
                    <w:rPr>
                      <w:rFonts w:ascii="Times New Roman" w:hAnsi="Times New Roman" w:eastAsia="微软雅黑" w:cs="Times New Roman"/>
                      <w:sz w:val="21"/>
                      <w:szCs w:val="21"/>
                    </w:rPr>
                  </w:pPr>
                  <w:r>
                    <w:rPr>
                      <w:rFonts w:ascii="Times New Roman" w:hAnsi="Times New Roman" w:cs="Times New Roman"/>
                      <w:sz w:val="21"/>
                      <w:szCs w:val="21"/>
                    </w:rPr>
                    <w:t>主要新增设备为行车（10t）1台，行车（5t）3台，铣床1台，车床1台，刨床1台，砂轮机1台，焊机6台，磁力钻1台，等离子切割机1台，空压机2台，切割机3台，自动割1台</w:t>
                  </w:r>
                  <w:r>
                    <w:rPr>
                      <w:rFonts w:hint="eastAsia" w:ascii="Times New Roman" w:hAnsi="Times New Roman" w:cs="Times New Roman"/>
                      <w:sz w:val="21"/>
                      <w:szCs w:val="21"/>
                    </w:rPr>
                    <w:t>等</w:t>
                  </w:r>
                </w:p>
              </w:tc>
              <w:tc>
                <w:tcPr>
                  <w:tcW w:w="322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主要新增设备为行车（10t）1台，行车（5t）3台，铣床1台，车床1台，刨床1台，砂轮机1台，焊机6台，磁力钻1台，等离子切割机1台，空压机2台，切割机3台，自动割1台等</w:t>
                  </w:r>
                </w:p>
              </w:tc>
              <w:tc>
                <w:tcPr>
                  <w:tcW w:w="99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dxa"/>
                  <w:vMerge w:val="continue"/>
                  <w:tcBorders>
                    <w:tl2br w:val="nil"/>
                    <w:tr2bl w:val="nil"/>
                  </w:tcBorders>
                  <w:vAlign w:val="center"/>
                </w:tcPr>
                <w:p>
                  <w:pPr>
                    <w:spacing w:line="288" w:lineRule="auto"/>
                    <w:jc w:val="center"/>
                    <w:rPr>
                      <w:rFonts w:ascii="Times New Roman" w:hAnsi="Times New Roman" w:cs="Times New Roman"/>
                      <w:sz w:val="21"/>
                      <w:szCs w:val="21"/>
                    </w:rPr>
                  </w:pPr>
                </w:p>
              </w:tc>
              <w:tc>
                <w:tcPr>
                  <w:tcW w:w="699"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生产工艺</w:t>
                  </w:r>
                </w:p>
              </w:tc>
              <w:tc>
                <w:tcPr>
                  <w:tcW w:w="323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主要工艺流程：钢材-下料-焊接-机加工-组装-成品</w:t>
                  </w:r>
                </w:p>
              </w:tc>
              <w:tc>
                <w:tcPr>
                  <w:tcW w:w="322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主要工艺流程：钢材-下料-焊接-机加工-组装-成品</w:t>
                  </w:r>
                </w:p>
              </w:tc>
              <w:tc>
                <w:tcPr>
                  <w:tcW w:w="99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6" w:type="dxa"/>
                  <w:vMerge w:val="continue"/>
                  <w:tcBorders>
                    <w:tl2br w:val="nil"/>
                    <w:tr2bl w:val="nil"/>
                  </w:tcBorders>
                  <w:vAlign w:val="center"/>
                </w:tcPr>
                <w:p>
                  <w:pPr>
                    <w:spacing w:line="288" w:lineRule="auto"/>
                    <w:jc w:val="center"/>
                    <w:rPr>
                      <w:rFonts w:ascii="Times New Roman" w:hAnsi="Times New Roman" w:cs="Times New Roman"/>
                      <w:sz w:val="21"/>
                      <w:szCs w:val="21"/>
                    </w:rPr>
                  </w:pPr>
                </w:p>
              </w:tc>
              <w:tc>
                <w:tcPr>
                  <w:tcW w:w="699"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生产规模</w:t>
                  </w:r>
                </w:p>
              </w:tc>
              <w:tc>
                <w:tcPr>
                  <w:tcW w:w="323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30</w:t>
                  </w:r>
                  <w:r>
                    <w:rPr>
                      <w:rFonts w:hint="eastAsia" w:ascii="Times New Roman" w:hAnsi="Times New Roman" w:cs="Times New Roman"/>
                      <w:sz w:val="21"/>
                      <w:szCs w:val="21"/>
                    </w:rPr>
                    <w:t>0套</w:t>
                  </w:r>
                  <w:r>
                    <w:rPr>
                      <w:rFonts w:ascii="Times New Roman" w:hAnsi="Times New Roman" w:cs="Times New Roman"/>
                      <w:sz w:val="21"/>
                      <w:szCs w:val="21"/>
                    </w:rPr>
                    <w:t>/年</w:t>
                  </w:r>
                </w:p>
              </w:tc>
              <w:tc>
                <w:tcPr>
                  <w:tcW w:w="322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300</w:t>
                  </w:r>
                  <w:r>
                    <w:rPr>
                      <w:rFonts w:hint="eastAsia" w:ascii="Times New Roman" w:hAnsi="Times New Roman" w:cs="Times New Roman"/>
                      <w:sz w:val="21"/>
                      <w:szCs w:val="21"/>
                    </w:rPr>
                    <w:t>套</w:t>
                  </w:r>
                  <w:r>
                    <w:rPr>
                      <w:rFonts w:ascii="Times New Roman" w:hAnsi="Times New Roman" w:cs="Times New Roman"/>
                      <w:sz w:val="21"/>
                      <w:szCs w:val="21"/>
                    </w:rPr>
                    <w:t>/年</w:t>
                  </w:r>
                </w:p>
              </w:tc>
              <w:tc>
                <w:tcPr>
                  <w:tcW w:w="99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一致</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6.2 产业政策符合性</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本项目主要进行环保设备关键部件制造，经查阅《产业结构调整指导目录（2019年本）》，本扩建项目属于鼓励类第四十三项环境保护与资源节约综合利用 第22条“节能、节水、节材环保及资源综合利用等技术开发、应用及设备制造”，属于鼓励类项目。本项目与产业政策相符性分析分析见表6。</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6</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与</w:t>
            </w:r>
            <w:r>
              <w:rPr>
                <w:rFonts w:hint="eastAsia" w:ascii="Times New Roman" w:hAnsi="Times New Roman" w:eastAsia="宋体" w:cs="Times New Roman"/>
                <w:b/>
                <w:bCs/>
                <w:sz w:val="22"/>
                <w:szCs w:val="22"/>
              </w:rPr>
              <w:t>产业政策符合性</w:t>
            </w:r>
            <w:r>
              <w:rPr>
                <w:rFonts w:ascii="Times New Roman" w:hAnsi="Times New Roman" w:cs="Times New Roman"/>
                <w:b/>
                <w:bCs/>
                <w:sz w:val="22"/>
                <w:szCs w:val="22"/>
              </w:rPr>
              <w:t>分析</w:t>
            </w:r>
          </w:p>
          <w:tbl>
            <w:tblPr>
              <w:tblStyle w:val="2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922"/>
              <w:gridCol w:w="1353"/>
              <w:gridCol w:w="2827"/>
              <w:gridCol w:w="1880"/>
              <w:gridCol w:w="98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dxa"/>
                  <w:gridSpan w:val="2"/>
                  <w:vAlign w:val="center"/>
                </w:tcPr>
                <w:p>
                  <w:pPr>
                    <w:jc w:val="center"/>
                    <w:rPr>
                      <w:rFonts w:ascii="Times New Roman" w:hAnsi="Times New Roman" w:cs="Times New Roman"/>
                      <w:b/>
                      <w:bCs/>
                      <w:sz w:val="21"/>
                      <w:szCs w:val="21"/>
                    </w:rPr>
                  </w:pPr>
                  <w:r>
                    <w:rPr>
                      <w:rFonts w:hint="eastAsia" w:ascii="Times New Roman" w:hAnsi="Times New Roman" w:cs="Times New Roman"/>
                      <w:b/>
                      <w:bCs/>
                      <w:sz w:val="21"/>
                      <w:szCs w:val="21"/>
                    </w:rPr>
                    <w:t>类</w:t>
                  </w:r>
                  <w:r>
                    <w:rPr>
                      <w:rFonts w:ascii="Times New Roman" w:hAnsi="Times New Roman" w:cs="Times New Roman"/>
                      <w:b/>
                      <w:bCs/>
                      <w:sz w:val="21"/>
                      <w:szCs w:val="21"/>
                    </w:rPr>
                    <w:t xml:space="preserve"> </w:t>
                  </w:r>
                  <w:r>
                    <w:rPr>
                      <w:rFonts w:hint="eastAsia" w:ascii="Times New Roman" w:hAnsi="Times New Roman" w:cs="Times New Roman"/>
                      <w:b/>
                      <w:bCs/>
                      <w:sz w:val="21"/>
                      <w:szCs w:val="21"/>
                    </w:rPr>
                    <w:t>别</w:t>
                  </w:r>
                </w:p>
              </w:tc>
              <w:tc>
                <w:tcPr>
                  <w:tcW w:w="1353" w:type="dxa"/>
                  <w:vAlign w:val="center"/>
                </w:tcPr>
                <w:p>
                  <w:pPr>
                    <w:jc w:val="center"/>
                    <w:rPr>
                      <w:rFonts w:ascii="Times New Roman" w:hAnsi="Times New Roman" w:cs="Times New Roman"/>
                      <w:b/>
                      <w:bCs/>
                      <w:sz w:val="21"/>
                      <w:szCs w:val="21"/>
                    </w:rPr>
                  </w:pPr>
                  <w:r>
                    <w:rPr>
                      <w:rFonts w:hint="eastAsia" w:ascii="Times New Roman" w:hAnsi="Times New Roman" w:cs="Times New Roman"/>
                      <w:b/>
                      <w:bCs/>
                      <w:sz w:val="21"/>
                      <w:szCs w:val="21"/>
                    </w:rPr>
                    <w:t>条</w:t>
                  </w:r>
                  <w:r>
                    <w:rPr>
                      <w:rFonts w:ascii="Times New Roman" w:hAnsi="Times New Roman" w:cs="Times New Roman"/>
                      <w:b/>
                      <w:bCs/>
                      <w:sz w:val="21"/>
                      <w:szCs w:val="21"/>
                    </w:rPr>
                    <w:t xml:space="preserve"> </w:t>
                  </w:r>
                  <w:r>
                    <w:rPr>
                      <w:rFonts w:hint="eastAsia" w:ascii="Times New Roman" w:hAnsi="Times New Roman" w:cs="Times New Roman"/>
                      <w:b/>
                      <w:bCs/>
                      <w:sz w:val="21"/>
                      <w:szCs w:val="21"/>
                    </w:rPr>
                    <w:t>款</w:t>
                  </w:r>
                </w:p>
              </w:tc>
              <w:tc>
                <w:tcPr>
                  <w:tcW w:w="2827" w:type="dxa"/>
                  <w:tcBorders>
                    <w:bottom w:val="single" w:color="auto" w:sz="4" w:space="0"/>
                  </w:tcBorders>
                  <w:vAlign w:val="center"/>
                </w:tcPr>
                <w:p>
                  <w:pPr>
                    <w:jc w:val="center"/>
                    <w:rPr>
                      <w:rFonts w:ascii="Times New Roman" w:hAnsi="Times New Roman" w:cs="Times New Roman"/>
                      <w:b/>
                      <w:bCs/>
                      <w:sz w:val="21"/>
                      <w:szCs w:val="21"/>
                    </w:rPr>
                  </w:pPr>
                  <w:r>
                    <w:rPr>
                      <w:rFonts w:hint="eastAsia" w:ascii="Times New Roman" w:hAnsi="Times New Roman" w:cs="Times New Roman"/>
                      <w:b/>
                      <w:bCs/>
                      <w:sz w:val="21"/>
                      <w:szCs w:val="21"/>
                    </w:rPr>
                    <w:t>内</w:t>
                  </w:r>
                  <w:r>
                    <w:rPr>
                      <w:rFonts w:ascii="Times New Roman" w:hAnsi="Times New Roman" w:cs="Times New Roman"/>
                      <w:b/>
                      <w:bCs/>
                      <w:sz w:val="21"/>
                      <w:szCs w:val="21"/>
                    </w:rPr>
                    <w:t xml:space="preserve"> </w:t>
                  </w:r>
                  <w:r>
                    <w:rPr>
                      <w:rFonts w:hint="eastAsia" w:ascii="Times New Roman" w:hAnsi="Times New Roman" w:cs="Times New Roman"/>
                      <w:b/>
                      <w:bCs/>
                      <w:sz w:val="21"/>
                      <w:szCs w:val="21"/>
                    </w:rPr>
                    <w:t>容</w:t>
                  </w:r>
                </w:p>
              </w:tc>
              <w:tc>
                <w:tcPr>
                  <w:tcW w:w="1880" w:type="dxa"/>
                  <w:tcBorders>
                    <w:bottom w:val="single" w:color="auto" w:sz="4" w:space="0"/>
                  </w:tcBorders>
                  <w:vAlign w:val="center"/>
                </w:tcPr>
                <w:p>
                  <w:pPr>
                    <w:jc w:val="center"/>
                    <w:rPr>
                      <w:rFonts w:ascii="Times New Roman" w:hAnsi="Times New Roman" w:cs="Times New Roman"/>
                      <w:b/>
                      <w:bCs/>
                      <w:sz w:val="21"/>
                      <w:szCs w:val="21"/>
                    </w:rPr>
                  </w:pPr>
                  <w:r>
                    <w:rPr>
                      <w:rFonts w:hint="eastAsia" w:ascii="Times New Roman" w:hAnsi="Times New Roman" w:cs="Times New Roman"/>
                      <w:b/>
                      <w:bCs/>
                      <w:sz w:val="21"/>
                      <w:szCs w:val="21"/>
                    </w:rPr>
                    <w:t>本项目情况</w:t>
                  </w:r>
                </w:p>
              </w:tc>
              <w:tc>
                <w:tcPr>
                  <w:tcW w:w="980" w:type="dxa"/>
                  <w:tcBorders>
                    <w:bottom w:val="single" w:color="auto" w:sz="4" w:space="0"/>
                  </w:tcBorders>
                  <w:vAlign w:val="center"/>
                </w:tcPr>
                <w:p>
                  <w:pPr>
                    <w:jc w:val="center"/>
                    <w:rPr>
                      <w:rFonts w:ascii="Times New Roman" w:hAnsi="Times New Roman" w:cs="Times New Roman"/>
                      <w:b/>
                      <w:bCs/>
                      <w:sz w:val="21"/>
                      <w:szCs w:val="21"/>
                    </w:rPr>
                  </w:pPr>
                  <w:r>
                    <w:rPr>
                      <w:rFonts w:hint="eastAsia" w:ascii="Times New Roman" w:hAnsi="Times New Roman" w:cs="Times New Roman"/>
                      <w:b/>
                      <w:bCs/>
                      <w:sz w:val="21"/>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dxa"/>
                  <w:gridSpan w:val="2"/>
                  <w:vAlign w:val="center"/>
                </w:tcPr>
                <w:p>
                  <w:pPr>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鼓励类</w:t>
                  </w:r>
                </w:p>
              </w:tc>
              <w:tc>
                <w:tcPr>
                  <w:tcW w:w="1353"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（四十三）环境保护与资源节约综合利用</w:t>
                  </w:r>
                </w:p>
              </w:tc>
              <w:tc>
                <w:tcPr>
                  <w:tcW w:w="2827"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22.节能、节水、节材环保及资源综合利用等技术开发、应用及设备制造</w:t>
                  </w:r>
                </w:p>
              </w:tc>
              <w:tc>
                <w:tcPr>
                  <w:tcW w:w="1880"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年产300套环保设备关键部件制造项目</w:t>
                  </w:r>
                </w:p>
              </w:tc>
              <w:tc>
                <w:tcPr>
                  <w:tcW w:w="980"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属于鼓励类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500" w:type="dxa"/>
                  <w:gridSpan w:val="2"/>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限制类</w:t>
                  </w:r>
                </w:p>
              </w:tc>
              <w:tc>
                <w:tcPr>
                  <w:tcW w:w="1353"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（十六）其它</w:t>
                  </w:r>
                </w:p>
              </w:tc>
              <w:tc>
                <w:tcPr>
                  <w:tcW w:w="2827"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8、不符合《大气污染防治法》《水污染杂防治法》《固体废物污染环境防治法》《节约能源法》《安全生产法》《产品质量法》《土地管理法》《职业病防治法》等国家法律法规,不符合国家安全、环保、能耗、质量方面强制性标准，不符合国际环境公约等要求的工艺、技术、产品、装备</w:t>
                  </w:r>
                </w:p>
              </w:tc>
              <w:tc>
                <w:tcPr>
                  <w:tcW w:w="1880"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年产300套环保设备关键部件制造项目</w:t>
                  </w:r>
                </w:p>
              </w:tc>
              <w:tc>
                <w:tcPr>
                  <w:tcW w:w="980"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不属于限制类</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8"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淘汰类</w:t>
                  </w:r>
                </w:p>
              </w:tc>
              <w:tc>
                <w:tcPr>
                  <w:tcW w:w="922"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落后生产工艺装备</w:t>
                  </w:r>
                </w:p>
              </w:tc>
              <w:tc>
                <w:tcPr>
                  <w:tcW w:w="1353"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（十八）其它</w:t>
                  </w:r>
                </w:p>
              </w:tc>
              <w:tc>
                <w:tcPr>
                  <w:tcW w:w="2827" w:type="dxa"/>
                  <w:vAlign w:val="center"/>
                </w:tcPr>
                <w:p>
                  <w:pPr>
                    <w:widowControl/>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6、不符合《大气污染防治法》《水污染杂防治法》《固体废物污染环境防治法》《节约能源法》《安全生产法》《产品质量法》《土地管理法》《职业病防治法》等国家法律法规,不符合国家安全、环保、能耗、质量方面强制性标准，不符合国际环境公约等要求的工艺、技术、产品、装备</w:t>
                  </w:r>
                </w:p>
              </w:tc>
              <w:tc>
                <w:tcPr>
                  <w:tcW w:w="1880"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年产300套环保设备关键部件制造项目</w:t>
                  </w:r>
                </w:p>
              </w:tc>
              <w:tc>
                <w:tcPr>
                  <w:tcW w:w="980" w:type="dxa"/>
                  <w:vAlign w:val="center"/>
                </w:tcPr>
                <w:p>
                  <w:pPr>
                    <w:tabs>
                      <w:tab w:val="center" w:pos="4153"/>
                      <w:tab w:val="right" w:pos="8306"/>
                    </w:tabs>
                    <w:adjustRightInd w:val="0"/>
                    <w:snapToGrid w:val="0"/>
                    <w:spacing w:line="288" w:lineRule="auto"/>
                    <w:rPr>
                      <w:rFonts w:ascii="Times New Roman" w:hAnsi="Times New Roman" w:cs="Times New Roman"/>
                      <w:sz w:val="21"/>
                      <w:szCs w:val="21"/>
                    </w:rPr>
                  </w:pPr>
                  <w:r>
                    <w:rPr>
                      <w:rFonts w:hint="eastAsia" w:ascii="Times New Roman" w:hAnsi="Times New Roman" w:cs="Times New Roman"/>
                      <w:sz w:val="21"/>
                      <w:szCs w:val="21"/>
                    </w:rPr>
                    <w:t>不属于淘汰类</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6.3. 与国务院发布《打赢蓝天保卫战三年行动计划》（国发（2018）22号）对照分析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与《打赢蓝天保卫战三年行动计划》（国发（2018）22号）（以下简称《行动计划》）对照分析见表7。</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7</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本项目与《行动计划》相符性分析</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4451"/>
              <w:gridCol w:w="1561"/>
              <w:gridCol w:w="1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Align w:val="center"/>
                </w:tcPr>
                <w:p>
                  <w:pPr>
                    <w:adjustRightInd w:val="0"/>
                    <w:snapToGrid w:val="0"/>
                    <w:spacing w:before="156" w:beforeLines="50" w:after="156" w:afterLines="50" w:line="288" w:lineRule="auto"/>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2606" w:type="pct"/>
                  <w:vAlign w:val="center"/>
                </w:tcPr>
                <w:p>
                  <w:pPr>
                    <w:adjustRightInd w:val="0"/>
                    <w:snapToGrid w:val="0"/>
                    <w:spacing w:before="156" w:beforeLines="50" w:after="156" w:afterLines="50" w:line="288" w:lineRule="auto"/>
                    <w:jc w:val="center"/>
                    <w:rPr>
                      <w:rFonts w:ascii="Times New Roman" w:hAnsi="Times New Roman" w:cs="Times New Roman"/>
                      <w:b/>
                      <w:bCs/>
                      <w:sz w:val="21"/>
                      <w:szCs w:val="21"/>
                    </w:rPr>
                  </w:pPr>
                  <w:r>
                    <w:rPr>
                      <w:rFonts w:ascii="Times New Roman" w:hAnsi="Times New Roman" w:cs="Times New Roman"/>
                      <w:b/>
                      <w:bCs/>
                      <w:sz w:val="21"/>
                      <w:szCs w:val="21"/>
                    </w:rPr>
                    <w:t>《打赢蓝天保卫战三年行动计划》中有关规定</w:t>
                  </w:r>
                </w:p>
              </w:tc>
              <w:tc>
                <w:tcPr>
                  <w:tcW w:w="914" w:type="pct"/>
                  <w:vAlign w:val="center"/>
                </w:tcPr>
                <w:p>
                  <w:pPr>
                    <w:adjustRightInd w:val="0"/>
                    <w:snapToGrid w:val="0"/>
                    <w:spacing w:before="156" w:beforeLines="50" w:after="156" w:afterLines="50" w:line="288" w:lineRule="auto"/>
                    <w:jc w:val="center"/>
                    <w:rPr>
                      <w:rFonts w:ascii="Times New Roman" w:hAnsi="Times New Roman" w:cs="Times New Roman"/>
                      <w:b/>
                      <w:bCs/>
                      <w:sz w:val="21"/>
                      <w:szCs w:val="21"/>
                    </w:rPr>
                  </w:pPr>
                  <w:r>
                    <w:rPr>
                      <w:rFonts w:ascii="Times New Roman" w:hAnsi="Times New Roman" w:cs="Times New Roman"/>
                      <w:b/>
                      <w:bCs/>
                      <w:sz w:val="21"/>
                      <w:szCs w:val="21"/>
                    </w:rPr>
                    <w:t>企业建设情况</w:t>
                  </w:r>
                </w:p>
              </w:tc>
              <w:tc>
                <w:tcPr>
                  <w:tcW w:w="626" w:type="pct"/>
                  <w:vAlign w:val="center"/>
                </w:tcPr>
                <w:p>
                  <w:pPr>
                    <w:adjustRightInd w:val="0"/>
                    <w:snapToGrid w:val="0"/>
                    <w:spacing w:before="156" w:beforeLines="50" w:after="156" w:afterLines="50" w:line="288" w:lineRule="auto"/>
                    <w:jc w:val="center"/>
                    <w:rPr>
                      <w:rFonts w:ascii="Times New Roman" w:hAnsi="Times New Roman" w:cs="Times New Roman"/>
                      <w:b/>
                      <w:bCs/>
                      <w:sz w:val="21"/>
                      <w:szCs w:val="21"/>
                    </w:rPr>
                  </w:pPr>
                  <w:r>
                    <w:rPr>
                      <w:rFonts w:ascii="Times New Roman" w:hAnsi="Times New Roman" w:cs="Times New Roman"/>
                      <w:b/>
                      <w:bCs/>
                      <w:sz w:val="21"/>
                      <w:szCs w:val="21"/>
                    </w:rPr>
                    <w:t>对比结论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52"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一、总体要求</w:t>
                  </w:r>
                </w:p>
              </w:tc>
              <w:tc>
                <w:tcPr>
                  <w:tcW w:w="2606"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三）重点区域范围。京津冀及周边地区，包含北京市，天津市，河北石家庄、唐山、邯郸、邢台、保定、沧州、廊坊、衡水市以及雄安新区，山西省太原、阳泉、长治、晋城市，山东省济南、淄博、济宁、德州、聊城、滨州、菏泽市，河南省郑州、开封、安阳、鹤壁、新乡、焦作、濮阳市；长三角地区，包含上海市、江苏省、浙江省、安徽省；汾渭平原，包含山西省晋中、运城、临汾、吕梁市，河南省洛阳，三门峡市，陕西省西安、铜川、宝鸡、咸阳、渭南市以及杨凌示范区等。</w:t>
                  </w:r>
                </w:p>
              </w:tc>
              <w:tc>
                <w:tcPr>
                  <w:tcW w:w="914"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 xml:space="preserve">本项目位于新乡工业产业集聚区 </w:t>
                  </w:r>
                </w:p>
              </w:tc>
              <w:tc>
                <w:tcPr>
                  <w:tcW w:w="626"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本项目位于重点区域范围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2"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二、调整优化产业结构，推进产业绿色发展</w:t>
                  </w:r>
                </w:p>
              </w:tc>
              <w:tc>
                <w:tcPr>
                  <w:tcW w:w="2606"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（五）严控</w:t>
                  </w:r>
                  <w:r>
                    <w:rPr>
                      <w:rFonts w:hint="eastAsia" w:ascii="Times New Roman" w:hAnsi="Times New Roman" w:cs="Times New Roman"/>
                      <w:sz w:val="21"/>
                      <w:szCs w:val="21"/>
                    </w:rPr>
                    <w:t>“</w:t>
                  </w:r>
                  <w:r>
                    <w:rPr>
                      <w:rFonts w:ascii="Times New Roman" w:hAnsi="Times New Roman" w:cs="Times New Roman"/>
                      <w:sz w:val="21"/>
                      <w:szCs w:val="21"/>
                    </w:rPr>
                    <w:t>两高</w:t>
                  </w:r>
                  <w:r>
                    <w:rPr>
                      <w:rFonts w:hint="eastAsia" w:ascii="Times New Roman" w:hAnsi="Times New Roman" w:cs="Times New Roman"/>
                      <w:sz w:val="21"/>
                      <w:szCs w:val="21"/>
                    </w:rPr>
                    <w:t>”</w:t>
                  </w:r>
                  <w:r>
                    <w:rPr>
                      <w:rFonts w:ascii="Times New Roman" w:hAnsi="Times New Roman" w:cs="Times New Roman"/>
                      <w:sz w:val="21"/>
                      <w:szCs w:val="21"/>
                    </w:rPr>
                    <w:t>行业产能。重点区域严禁新增钢铁、焦化、电解铝、铸造、水泥和平板玻璃等产能；严格执行钢铁、水泥、平板玻璃等行业产能置换实施办法：新、改、扩建涉及大宗物料运输的建设项目，原则上不得采用公路运输。</w:t>
                  </w:r>
                </w:p>
              </w:tc>
              <w:tc>
                <w:tcPr>
                  <w:tcW w:w="914"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本项目属于机械制造，不属于</w:t>
                  </w:r>
                  <w:r>
                    <w:rPr>
                      <w:rFonts w:hint="eastAsia" w:ascii="Times New Roman" w:hAnsi="Times New Roman" w:cs="Times New Roman"/>
                      <w:sz w:val="21"/>
                      <w:szCs w:val="21"/>
                    </w:rPr>
                    <w:t>“</w:t>
                  </w:r>
                  <w:r>
                    <w:rPr>
                      <w:rFonts w:ascii="Times New Roman" w:hAnsi="Times New Roman" w:cs="Times New Roman"/>
                      <w:sz w:val="21"/>
                      <w:szCs w:val="21"/>
                    </w:rPr>
                    <w:t>两高</w:t>
                  </w:r>
                  <w:r>
                    <w:rPr>
                      <w:rFonts w:hint="eastAsia" w:ascii="Times New Roman" w:hAnsi="Times New Roman" w:cs="Times New Roman"/>
                      <w:sz w:val="21"/>
                      <w:szCs w:val="21"/>
                    </w:rPr>
                    <w:t>”</w:t>
                  </w:r>
                  <w:r>
                    <w:rPr>
                      <w:rFonts w:ascii="Times New Roman" w:hAnsi="Times New Roman" w:cs="Times New Roman"/>
                      <w:sz w:val="21"/>
                      <w:szCs w:val="21"/>
                    </w:rPr>
                    <w:t>行业</w:t>
                  </w:r>
                </w:p>
              </w:tc>
              <w:tc>
                <w:tcPr>
                  <w:tcW w:w="626"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项目不属于</w:t>
                  </w:r>
                  <w:r>
                    <w:rPr>
                      <w:rFonts w:hint="eastAsia" w:ascii="Times New Roman" w:hAnsi="Times New Roman" w:cs="Times New Roman"/>
                      <w:sz w:val="21"/>
                      <w:szCs w:val="21"/>
                    </w:rPr>
                    <w:t>“</w:t>
                  </w:r>
                  <w:r>
                    <w:rPr>
                      <w:rFonts w:ascii="Times New Roman" w:hAnsi="Times New Roman" w:cs="Times New Roman"/>
                      <w:sz w:val="21"/>
                      <w:szCs w:val="21"/>
                    </w:rPr>
                    <w:t>两高</w:t>
                  </w:r>
                  <w:r>
                    <w:rPr>
                      <w:rFonts w:hint="eastAsia" w:ascii="Times New Roman" w:hAnsi="Times New Roman" w:cs="Times New Roman"/>
                      <w:sz w:val="21"/>
                      <w:szCs w:val="21"/>
                    </w:rPr>
                    <w:t>”</w:t>
                  </w:r>
                  <w:r>
                    <w:rPr>
                      <w:rFonts w:ascii="Times New Roman" w:hAnsi="Times New Roman" w:cs="Times New Roman"/>
                      <w:sz w:val="21"/>
                      <w:szCs w:val="21"/>
                    </w:rPr>
                    <w:t>行业</w:t>
                  </w:r>
                </w:p>
              </w:tc>
            </w:tr>
          </w:tbl>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由表7可知，本项目位于《行动计划》实施范围内，但不属于“两高”行业，不属于《行动计划》中不允许建设项目，符合《行动计划》相关要求。</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6.4 本项目与《河南省2019年大气污染防治攻坚战实施方案》豫环攻坚办（2019）25号文的对照分析</w:t>
            </w:r>
          </w:p>
          <w:p>
            <w:pPr>
              <w:pStyle w:val="10"/>
              <w:spacing w:before="93" w:beforeLines="30" w:after="93" w:afterLines="30" w:line="360" w:lineRule="auto"/>
              <w:ind w:firstLine="660" w:firstLineChars="300"/>
              <w:jc w:val="center"/>
              <w:textAlignment w:val="baseline"/>
              <w:rPr>
                <w:rFonts w:ascii="Times New Roman" w:hAnsi="Times New Roman" w:cs="Times New Roman"/>
                <w:b/>
                <w:bCs/>
                <w:color w:val="000000"/>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8</w:t>
            </w:r>
            <w:r>
              <w:rPr>
                <w:rFonts w:ascii="Times New Roman" w:hAnsi="Times New Roman" w:cs="Times New Roman"/>
                <w:b/>
                <w:bCs/>
                <w:sz w:val="22"/>
                <w:szCs w:val="22"/>
              </w:rPr>
              <w:fldChar w:fldCharType="end"/>
            </w:r>
            <w:r>
              <w:rPr>
                <w:rFonts w:ascii="Times New Roman" w:hAnsi="Times New Roman" w:cs="Times New Roman"/>
                <w:b/>
                <w:bCs/>
                <w:color w:val="000000"/>
                <w:sz w:val="22"/>
                <w:szCs w:val="22"/>
              </w:rPr>
              <w:t xml:space="preserve"> 与豫环攻坚办（2019）25号文的对照分析</w:t>
            </w:r>
          </w:p>
          <w:tbl>
            <w:tblPr>
              <w:tblStyle w:val="28"/>
              <w:tblW w:w="88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5171"/>
              <w:gridCol w:w="1655"/>
              <w:gridCol w:w="8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132" w:type="dxa"/>
                  <w:tcBorders>
                    <w:tl2br w:val="nil"/>
                    <w:tr2bl w:val="nil"/>
                  </w:tcBorders>
                  <w:vAlign w:val="center"/>
                </w:tcPr>
                <w:p>
                  <w:pPr>
                    <w:adjustRightInd w:val="0"/>
                    <w:snapToGrid w:val="0"/>
                    <w:jc w:val="center"/>
                    <w:textAlignment w:val="baseline"/>
                    <w:rPr>
                      <w:rFonts w:ascii="Times New Roman" w:hAnsi="Times New Roman" w:cs="Times New Roman"/>
                      <w:b/>
                      <w:color w:val="000000"/>
                      <w:sz w:val="21"/>
                      <w:szCs w:val="21"/>
                    </w:rPr>
                  </w:pPr>
                  <w:r>
                    <w:rPr>
                      <w:rFonts w:ascii="Times New Roman" w:hAnsi="Times New Roman" w:cs="Times New Roman"/>
                      <w:b/>
                      <w:color w:val="000000"/>
                      <w:sz w:val="21"/>
                      <w:szCs w:val="21"/>
                    </w:rPr>
                    <w:t>主要任务</w:t>
                  </w:r>
                </w:p>
              </w:tc>
              <w:tc>
                <w:tcPr>
                  <w:tcW w:w="5171" w:type="dxa"/>
                  <w:tcBorders>
                    <w:tl2br w:val="nil"/>
                    <w:tr2bl w:val="nil"/>
                  </w:tcBorders>
                  <w:vAlign w:val="center"/>
                </w:tcPr>
                <w:p>
                  <w:pPr>
                    <w:adjustRightInd w:val="0"/>
                    <w:snapToGrid w:val="0"/>
                    <w:jc w:val="center"/>
                    <w:textAlignment w:val="baseline"/>
                    <w:rPr>
                      <w:rFonts w:ascii="Times New Roman" w:hAnsi="Times New Roman" w:cs="Times New Roman"/>
                      <w:b/>
                      <w:color w:val="000000"/>
                      <w:sz w:val="21"/>
                      <w:szCs w:val="21"/>
                    </w:rPr>
                  </w:pPr>
                  <w:r>
                    <w:rPr>
                      <w:rFonts w:ascii="Times New Roman" w:hAnsi="Times New Roman" w:cs="Times New Roman"/>
                      <w:b/>
                      <w:color w:val="000000"/>
                      <w:sz w:val="21"/>
                      <w:szCs w:val="21"/>
                    </w:rPr>
                    <w:t>与本项目相关条文</w:t>
                  </w:r>
                </w:p>
              </w:tc>
              <w:tc>
                <w:tcPr>
                  <w:tcW w:w="1655" w:type="dxa"/>
                  <w:tcBorders>
                    <w:tl2br w:val="nil"/>
                    <w:tr2bl w:val="nil"/>
                  </w:tcBorders>
                  <w:vAlign w:val="center"/>
                </w:tcPr>
                <w:p>
                  <w:pPr>
                    <w:adjustRightInd w:val="0"/>
                    <w:snapToGrid w:val="0"/>
                    <w:jc w:val="center"/>
                    <w:textAlignment w:val="baseline"/>
                    <w:rPr>
                      <w:rFonts w:ascii="Times New Roman" w:hAnsi="Times New Roman" w:cs="Times New Roman"/>
                      <w:b/>
                      <w:color w:val="000000"/>
                      <w:sz w:val="21"/>
                      <w:szCs w:val="21"/>
                    </w:rPr>
                  </w:pPr>
                  <w:r>
                    <w:rPr>
                      <w:rFonts w:ascii="Times New Roman" w:hAnsi="Times New Roman" w:cs="Times New Roman"/>
                      <w:b/>
                      <w:color w:val="000000"/>
                      <w:sz w:val="21"/>
                      <w:szCs w:val="21"/>
                    </w:rPr>
                    <w:t>本项目情况</w:t>
                  </w:r>
                </w:p>
              </w:tc>
              <w:tc>
                <w:tcPr>
                  <w:tcW w:w="882" w:type="dxa"/>
                  <w:tcBorders>
                    <w:tl2br w:val="nil"/>
                    <w:tr2bl w:val="nil"/>
                  </w:tcBorders>
                  <w:vAlign w:val="center"/>
                </w:tcPr>
                <w:p>
                  <w:pPr>
                    <w:adjustRightInd w:val="0"/>
                    <w:snapToGrid w:val="0"/>
                    <w:ind w:left="-146" w:leftChars="-52"/>
                    <w:jc w:val="center"/>
                    <w:textAlignment w:val="baseline"/>
                    <w:rPr>
                      <w:rFonts w:ascii="Times New Roman" w:hAnsi="Times New Roman" w:cs="Times New Roman"/>
                      <w:b/>
                      <w:color w:val="000000"/>
                      <w:sz w:val="21"/>
                      <w:szCs w:val="21"/>
                    </w:rPr>
                  </w:pPr>
                  <w:r>
                    <w:rPr>
                      <w:rFonts w:ascii="Times New Roman" w:hAnsi="Times New Roman" w:cs="Times New Roman"/>
                      <w:b/>
                      <w:color w:val="000000"/>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9" w:hRule="atLeast"/>
                <w:jc w:val="center"/>
              </w:trPr>
              <w:tc>
                <w:tcPr>
                  <w:tcW w:w="1132"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31. 开展工业企业无组织排放治理</w:t>
                  </w:r>
                </w:p>
              </w:tc>
              <w:tc>
                <w:tcPr>
                  <w:tcW w:w="5171"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sz w:val="21"/>
                      <w:szCs w:val="21"/>
                    </w:rPr>
                  </w:pPr>
                  <w:r>
                    <w:rPr>
                      <w:rFonts w:ascii="Times New Roman" w:hAnsi="Times New Roman" w:cs="Times New Roman"/>
                      <w:sz w:val="21"/>
                      <w:szCs w:val="21"/>
                    </w:rPr>
                    <w:t>2019年10月底前，全省工业企业完成物料运输、生产工艺、堆场环节的无组织排放深度治理，全面实现“五到位、一封闭”。“五到位”即：生产过程收尘到位，生产工艺产尘点设置集气罩并配备除尘设施，不能有可见烟尘外逸；物料运输抑尘到位，粉状、粒装物料及燃料运输采用密闭皮带、密闭通廊。管状袋式输送机或密闭车厢、真空罐车、气力输送等密闭方式，汽车、火车、皮带输送机等卸料点设置集气罩或密闭罩，并配备除尘设施；厂区道路除尘到位，路面实施硬化，定期进行洒水清扫，出口处配备车轮和车身清洗装置；裸露土地绿化到位，厂区内可见裸露土地全部绿化，确实不能绿化的尽可能硬化；无组织排放监控到位，因企制宜安装视频、空气微站、降尘缸、TSP（总悬浮颗粒物）等监控设施。“一封闭”即：厂区内贮存的各类易产生粉尘的物料及燃料全部密闭，禁止露天堆放。对无组织排放达不到要求的企业，严格按照《中华人民共和国大气污染防治法》予以处罚，并责令停产整改。</w:t>
                  </w:r>
                </w:p>
              </w:tc>
              <w:tc>
                <w:tcPr>
                  <w:tcW w:w="1655" w:type="dxa"/>
                  <w:tcBorders>
                    <w:tl2br w:val="nil"/>
                    <w:tr2bl w:val="nil"/>
                  </w:tcBorders>
                  <w:vAlign w:val="center"/>
                </w:tcPr>
                <w:p>
                  <w:pPr>
                    <w:adjustRightInd w:val="0"/>
                    <w:snapToGrid w:val="0"/>
                    <w:spacing w:line="288" w:lineRule="auto"/>
                    <w:jc w:val="center"/>
                    <w:rPr>
                      <w:rFonts w:ascii="Times New Roman" w:hAnsi="Times New Roman" w:cs="Times New Roman"/>
                      <w:color w:val="000000"/>
                      <w:sz w:val="21"/>
                      <w:szCs w:val="21"/>
                    </w:rPr>
                  </w:pPr>
                  <w:r>
                    <w:rPr>
                      <w:rFonts w:ascii="Times New Roman" w:hAnsi="Times New Roman" w:cs="Times New Roman"/>
                      <w:kern w:val="0"/>
                      <w:sz w:val="21"/>
                      <w:szCs w:val="21"/>
                    </w:rPr>
                    <w:t>本项目主要原料为</w:t>
                  </w:r>
                  <w:r>
                    <w:rPr>
                      <w:rFonts w:hint="eastAsia" w:ascii="Times New Roman" w:hAnsi="Times New Roman" w:cs="Times New Roman"/>
                      <w:kern w:val="0"/>
                      <w:sz w:val="21"/>
                      <w:szCs w:val="21"/>
                    </w:rPr>
                    <w:t>钢板、型钢等，原有项目和新增项目下料、焊接、打磨产生的颗粒物分别经</w:t>
                  </w:r>
                  <w:r>
                    <w:rPr>
                      <w:rFonts w:ascii="Times New Roman" w:hAnsi="Times New Roman" w:cs="Times New Roman"/>
                      <w:kern w:val="0"/>
                      <w:sz w:val="21"/>
                      <w:szCs w:val="21"/>
                    </w:rPr>
                    <w:t>集气罩收集，引致脉冲式袋式除尘器治理后经15米排气筒排放</w:t>
                  </w:r>
                  <w:r>
                    <w:rPr>
                      <w:rFonts w:hint="eastAsia" w:ascii="Times New Roman" w:hAnsi="Times New Roman" w:cs="Times New Roman"/>
                      <w:kern w:val="0"/>
                      <w:sz w:val="21"/>
                      <w:szCs w:val="21"/>
                    </w:rPr>
                    <w:t>。</w:t>
                  </w:r>
                </w:p>
              </w:tc>
              <w:tc>
                <w:tcPr>
                  <w:tcW w:w="882"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1132"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33. 开展VOCs专项治理</w:t>
                  </w:r>
                </w:p>
              </w:tc>
              <w:tc>
                <w:tcPr>
                  <w:tcW w:w="5171"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sz w:val="21"/>
                      <w:szCs w:val="21"/>
                    </w:rPr>
                  </w:pPr>
                  <w:r>
                    <w:rPr>
                      <w:rFonts w:ascii="Times New Roman" w:hAnsi="Times New Roman" w:cs="Times New Roman"/>
                      <w:sz w:val="21"/>
                      <w:szCs w:val="21"/>
                    </w:rPr>
                    <w:t>2019年6月底前，全省石油化学、石油炼制、表面涂装、印刷、化工、制药等工业企业，全面完成</w:t>
                  </w:r>
                  <w:r>
                    <w:rPr>
                      <w:rFonts w:ascii="Times New Roman" w:hAnsi="Times New Roman" w:cs="Times New Roman"/>
                      <w:color w:val="000000"/>
                      <w:sz w:val="21"/>
                      <w:szCs w:val="21"/>
                    </w:rPr>
                    <w:t>VOCs无组织排放治理，原料、中间产品与成品应密闭储存，排放VOCs的生产工序要在密闭空间或设备中实施，对产生的含VOCs废气进行净化处理，达到河南省工业企业挥发性有机物专项治理工作中排放建议值要求。</w:t>
                  </w:r>
                </w:p>
              </w:tc>
              <w:tc>
                <w:tcPr>
                  <w:tcW w:w="1655" w:type="dxa"/>
                  <w:tcBorders>
                    <w:tl2br w:val="nil"/>
                    <w:tr2bl w:val="nil"/>
                  </w:tcBorders>
                  <w:vAlign w:val="center"/>
                </w:tcPr>
                <w:p>
                  <w:pPr>
                    <w:adjustRightInd w:val="0"/>
                    <w:snapToGrid w:val="0"/>
                    <w:spacing w:line="288" w:lineRule="auto"/>
                    <w:jc w:val="center"/>
                    <w:rPr>
                      <w:rFonts w:ascii="Times New Roman" w:hAnsi="Times New Roman" w:cs="Times New Roman"/>
                      <w:color w:val="000000"/>
                      <w:sz w:val="21"/>
                      <w:szCs w:val="21"/>
                    </w:rPr>
                  </w:pPr>
                  <w:r>
                    <w:rPr>
                      <w:rFonts w:ascii="Times New Roman" w:hAnsi="Times New Roman" w:cs="Times New Roman"/>
                      <w:sz w:val="21"/>
                      <w:szCs w:val="21"/>
                    </w:rPr>
                    <w:t>本项目不涉及有机物使用，无有机废气排放。</w:t>
                  </w:r>
                </w:p>
              </w:tc>
              <w:tc>
                <w:tcPr>
                  <w:tcW w:w="882"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132"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43. 加快构建工业企业全方位监控体系</w:t>
                  </w:r>
                </w:p>
              </w:tc>
              <w:tc>
                <w:tcPr>
                  <w:tcW w:w="5171"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sz w:val="21"/>
                      <w:szCs w:val="21"/>
                    </w:rPr>
                  </w:pPr>
                  <w:r>
                    <w:rPr>
                      <w:rFonts w:ascii="Times New Roman" w:hAnsi="Times New Roman" w:cs="Times New Roman"/>
                      <w:sz w:val="21"/>
                      <w:szCs w:val="21"/>
                    </w:rPr>
                    <w:t>（1）强化有组织排放监控。对全省第二次污染源普查的涉气企业进行全面筛查，2019年9月底前，满足建设标准（含无组织排放治理后，设置集气罩并配备除尘设施的工业企业）的排污单位，实现在线监控“应安尽安”。（3）开展VOCs排放监控。构建工业企业VOCs排放监控体系，依据《固定污染源废气非甲烷总烃连续监测系统技术要求及监测方法（HJ1013-2018）》，制定</w:t>
                  </w:r>
                  <w:r>
                    <w:rPr>
                      <w:rFonts w:ascii="Times New Roman" w:hAnsi="Times New Roman" w:cs="Times New Roman"/>
                      <w:color w:val="000000"/>
                      <w:sz w:val="21"/>
                      <w:szCs w:val="21"/>
                    </w:rPr>
                    <w:t>VOCs在线监控设备安装、运行、比对及联网技术规范。</w:t>
                  </w:r>
                </w:p>
              </w:tc>
              <w:tc>
                <w:tcPr>
                  <w:tcW w:w="1655" w:type="dxa"/>
                  <w:tcBorders>
                    <w:tl2br w:val="nil"/>
                    <w:tr2bl w:val="nil"/>
                  </w:tcBorders>
                  <w:vAlign w:val="center"/>
                </w:tcPr>
                <w:p>
                  <w:pPr>
                    <w:adjustRightInd w:val="0"/>
                    <w:snapToGrid w:val="0"/>
                    <w:spacing w:line="288" w:lineRule="auto"/>
                    <w:jc w:val="center"/>
                    <w:rPr>
                      <w:rFonts w:ascii="Times New Roman" w:hAnsi="Times New Roman" w:cs="Times New Roman"/>
                      <w:color w:val="000000"/>
                      <w:sz w:val="21"/>
                      <w:szCs w:val="21"/>
                    </w:rPr>
                  </w:pPr>
                  <w:r>
                    <w:rPr>
                      <w:rFonts w:ascii="Times New Roman" w:hAnsi="Times New Roman" w:cs="Times New Roman"/>
                      <w:sz w:val="21"/>
                      <w:szCs w:val="21"/>
                    </w:rPr>
                    <w:t>本项目不涉及有机物使用，无有机废气排放</w:t>
                  </w:r>
                </w:p>
              </w:tc>
              <w:tc>
                <w:tcPr>
                  <w:tcW w:w="882"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1" w:hRule="atLeast"/>
                <w:jc w:val="center"/>
              </w:trPr>
              <w:tc>
                <w:tcPr>
                  <w:tcW w:w="1132"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47. 强化重污染天气应急管控</w:t>
                  </w:r>
                </w:p>
              </w:tc>
              <w:tc>
                <w:tcPr>
                  <w:tcW w:w="5171"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sz w:val="21"/>
                      <w:szCs w:val="21"/>
                    </w:rPr>
                  </w:pPr>
                  <w:r>
                    <w:rPr>
                      <w:rFonts w:ascii="Times New Roman" w:hAnsi="Times New Roman" w:cs="Times New Roman"/>
                      <w:sz w:val="21"/>
                      <w:szCs w:val="21"/>
                    </w:rPr>
                    <w:t>（1）夯实应急减排清单。2019年9月底前，结合全省第二次污染源普查的涉气企业情况，各地在2018年重污染天气应急减排清单基础上，按行业、按地域补充完善管控企业范围，细化不同时段、不同区域、不同行业、不同排放水平的工业企业、施工工地的管控措施等，依据主要污染物排放量（烟粉尘、二氧化硫、氮氧化物、挥发性有机物），科学确定红、橙、黄预警级别下停限产和减排措施，进一步夯实中污染天气应急管控清单。（2）科学制定减排措施。按照“多排多限、少排少限、不排不限”的原则，科学制定应急减排措施，严禁“一刀切”。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tc>
              <w:tc>
                <w:tcPr>
                  <w:tcW w:w="1655" w:type="dxa"/>
                  <w:tcBorders>
                    <w:tl2br w:val="nil"/>
                    <w:tr2bl w:val="nil"/>
                  </w:tcBorders>
                  <w:vAlign w:val="center"/>
                </w:tcPr>
                <w:p>
                  <w:pPr>
                    <w:adjustRightInd w:val="0"/>
                    <w:snapToGrid w:val="0"/>
                    <w:spacing w:line="288"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在重污染天气，企业</w:t>
                  </w:r>
                  <w:r>
                    <w:rPr>
                      <w:rFonts w:hint="eastAsia" w:ascii="Times New Roman" w:hAnsi="Times New Roman" w:cs="Times New Roman"/>
                      <w:color w:val="000000"/>
                      <w:sz w:val="21"/>
                      <w:szCs w:val="21"/>
                    </w:rPr>
                    <w:t>将</w:t>
                  </w:r>
                  <w:r>
                    <w:rPr>
                      <w:rFonts w:ascii="Times New Roman" w:hAnsi="Times New Roman" w:cs="Times New Roman"/>
                      <w:color w:val="000000"/>
                      <w:sz w:val="21"/>
                      <w:szCs w:val="21"/>
                    </w:rPr>
                    <w:t>按照政府制定的减排措施严格执行</w:t>
                  </w:r>
                  <w:r>
                    <w:rPr>
                      <w:rFonts w:hint="eastAsia" w:ascii="Times New Roman" w:hAnsi="Times New Roman" w:cs="Times New Roman"/>
                      <w:color w:val="000000"/>
                      <w:sz w:val="21"/>
                      <w:szCs w:val="21"/>
                    </w:rPr>
                    <w:t>。</w:t>
                  </w:r>
                </w:p>
              </w:tc>
              <w:tc>
                <w:tcPr>
                  <w:tcW w:w="882" w:type="dxa"/>
                  <w:tcBorders>
                    <w:tl2br w:val="nil"/>
                    <w:tr2bl w:val="nil"/>
                  </w:tcBorders>
                  <w:vAlign w:val="center"/>
                </w:tcPr>
                <w:p>
                  <w:pPr>
                    <w:adjustRightInd w:val="0"/>
                    <w:snapToGrid w:val="0"/>
                    <w:spacing w:line="288" w:lineRule="auto"/>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相符</w:t>
                  </w:r>
                </w:p>
              </w:tc>
            </w:tr>
          </w:tbl>
          <w:p>
            <w:pPr>
              <w:spacing w:line="360" w:lineRule="auto"/>
              <w:ind w:firstLine="480" w:firstLineChars="200"/>
              <w:rPr>
                <w:rFonts w:ascii="Times New Roman" w:hAnsi="Times New Roman" w:cs="Times New Roman"/>
                <w:sz w:val="24"/>
              </w:rPr>
            </w:pPr>
            <w:r>
              <w:rPr>
                <w:rFonts w:ascii="Times New Roman" w:hAnsi="Times New Roman" w:cs="Times New Roman"/>
                <w:sz w:val="24"/>
              </w:rPr>
              <w:t>由表</w:t>
            </w:r>
            <w:r>
              <w:rPr>
                <w:rFonts w:hint="eastAsia" w:ascii="Times New Roman" w:hAnsi="Times New Roman" w:cs="Times New Roman"/>
                <w:sz w:val="24"/>
              </w:rPr>
              <w:t>8</w:t>
            </w:r>
            <w:r>
              <w:rPr>
                <w:rFonts w:ascii="Times New Roman" w:hAnsi="Times New Roman" w:cs="Times New Roman"/>
                <w:sz w:val="24"/>
              </w:rPr>
              <w:t>可知，本项目符合《河南省2019年大气污染防治攻坚战实施方案》豫环攻坚办（2019）25号文的相关规定。</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6.5 项目与《河南省工业大气污染防治6个专项方案》的相符性分析</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项目与《河南省工业大气污染防治6个专项方案》（豫环文[2019]84号）对比分析见表9。</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9</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与《河南省工业大气污染防治6个专项方案》对比分析一览表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4541"/>
              <w:gridCol w:w="1587"/>
              <w:gridCol w:w="1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63" w:type="pct"/>
                  <w:vAlign w:val="center"/>
                </w:tcPr>
                <w:p>
                  <w:pPr>
                    <w:adjustRightInd w:val="0"/>
                    <w:snapToGrid w:val="0"/>
                    <w:spacing w:line="288" w:lineRule="auto"/>
                    <w:jc w:val="center"/>
                    <w:rPr>
                      <w:rFonts w:ascii="Times New Roman" w:hAnsi="Times New Roman" w:cs="Times New Roman"/>
                      <w:b/>
                      <w:sz w:val="21"/>
                      <w:szCs w:val="21"/>
                    </w:rPr>
                  </w:pPr>
                  <w:r>
                    <w:rPr>
                      <w:rFonts w:ascii="Times New Roman" w:hAnsi="Times New Roman" w:cs="Times New Roman"/>
                      <w:b/>
                      <w:sz w:val="21"/>
                      <w:szCs w:val="21"/>
                    </w:rPr>
                    <w:t>专项名称</w:t>
                  </w:r>
                </w:p>
              </w:tc>
              <w:tc>
                <w:tcPr>
                  <w:tcW w:w="2659" w:type="pct"/>
                  <w:vAlign w:val="center"/>
                </w:tcPr>
                <w:p>
                  <w:pPr>
                    <w:adjustRightInd w:val="0"/>
                    <w:snapToGrid w:val="0"/>
                    <w:spacing w:line="288" w:lineRule="auto"/>
                    <w:jc w:val="center"/>
                    <w:rPr>
                      <w:rFonts w:ascii="Times New Roman" w:hAnsi="Times New Roman" w:cs="Times New Roman"/>
                      <w:b/>
                      <w:sz w:val="21"/>
                      <w:szCs w:val="21"/>
                    </w:rPr>
                  </w:pPr>
                  <w:r>
                    <w:rPr>
                      <w:rFonts w:ascii="Times New Roman" w:hAnsi="Times New Roman" w:cs="Times New Roman"/>
                      <w:b/>
                      <w:sz w:val="21"/>
                      <w:szCs w:val="21"/>
                    </w:rPr>
                    <w:t>《河南省工业大气污染防治6个专项方案》中有关要求</w:t>
                  </w:r>
                </w:p>
              </w:tc>
              <w:tc>
                <w:tcPr>
                  <w:tcW w:w="929" w:type="pct"/>
                  <w:vAlign w:val="center"/>
                </w:tcPr>
                <w:p>
                  <w:pPr>
                    <w:adjustRightInd w:val="0"/>
                    <w:snapToGrid w:val="0"/>
                    <w:spacing w:line="288" w:lineRule="auto"/>
                    <w:jc w:val="center"/>
                    <w:rPr>
                      <w:rFonts w:ascii="Times New Roman" w:hAnsi="Times New Roman" w:cs="Times New Roman"/>
                      <w:b/>
                      <w:sz w:val="21"/>
                      <w:szCs w:val="21"/>
                    </w:rPr>
                  </w:pPr>
                  <w:r>
                    <w:rPr>
                      <w:rFonts w:ascii="Times New Roman" w:hAnsi="Times New Roman" w:cs="Times New Roman"/>
                      <w:b/>
                      <w:sz w:val="21"/>
                      <w:szCs w:val="21"/>
                    </w:rPr>
                    <w:t>企业建设情况</w:t>
                  </w:r>
                </w:p>
              </w:tc>
              <w:tc>
                <w:tcPr>
                  <w:tcW w:w="648" w:type="pct"/>
                  <w:vAlign w:val="center"/>
                </w:tcPr>
                <w:p>
                  <w:pPr>
                    <w:adjustRightInd w:val="0"/>
                    <w:snapToGrid w:val="0"/>
                    <w:spacing w:line="288" w:lineRule="auto"/>
                    <w:jc w:val="center"/>
                    <w:rPr>
                      <w:rFonts w:ascii="Times New Roman" w:hAnsi="Times New Roman" w:cs="Times New Roman"/>
                      <w:b/>
                      <w:sz w:val="21"/>
                      <w:szCs w:val="21"/>
                    </w:rPr>
                  </w:pPr>
                  <w:r>
                    <w:rPr>
                      <w:rFonts w:ascii="Times New Roman" w:hAnsi="Times New Roman" w:cs="Times New Roman"/>
                      <w:b/>
                      <w:sz w:val="21"/>
                      <w:szCs w:val="21"/>
                    </w:rPr>
                    <w:t>对比结论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63" w:type="pct"/>
                  <w:vAlign w:val="center"/>
                </w:tcPr>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河南省2019年工业企业无组织排放治理方案</w:t>
                  </w:r>
                </w:p>
              </w:tc>
              <w:tc>
                <w:tcPr>
                  <w:tcW w:w="2659" w:type="pct"/>
                  <w:vAlign w:val="center"/>
                </w:tcPr>
                <w:p>
                  <w:pPr>
                    <w:numPr>
                      <w:ilvl w:val="0"/>
                      <w:numId w:val="2"/>
                    </w:num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其它行业无组织排放治理标准</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（一）料场密闭治理。</w:t>
                  </w:r>
                </w:p>
                <w:p>
                  <w:pPr>
                    <w:numPr>
                      <w:ilvl w:val="0"/>
                      <w:numId w:val="3"/>
                    </w:num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所有物料（包括原辅料、半成品、成品）入库存放，厂界内无露天堆放物料。</w:t>
                  </w:r>
                </w:p>
                <w:p>
                  <w:pPr>
                    <w:numPr>
                      <w:ilvl w:val="0"/>
                      <w:numId w:val="3"/>
                    </w:num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密闭料场必须覆盖所有堆场料区。</w:t>
                  </w:r>
                </w:p>
                <w:p>
                  <w:pPr>
                    <w:numPr>
                      <w:ilvl w:val="0"/>
                      <w:numId w:val="3"/>
                    </w:num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车间、库房四面密闭，通道口安装卷帘门、推拉门等封闭性良好且便于开关的硬质门，在无车辆出入时将门关闭，保证空气合理流动不产生湍流。</w:t>
                  </w:r>
                </w:p>
                <w:p>
                  <w:pPr>
                    <w:numPr>
                      <w:ilvl w:val="0"/>
                      <w:numId w:val="3"/>
                    </w:num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所有地面完成硬化，并保证除物料堆放区域外没有明显积尘。</w:t>
                  </w:r>
                </w:p>
                <w:p>
                  <w:pPr>
                    <w:numPr>
                      <w:ilvl w:val="0"/>
                      <w:numId w:val="3"/>
                    </w:num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每个下料口设置独立集气罩，配套的除尘设施不与其他工序混用。</w:t>
                  </w:r>
                </w:p>
                <w:p>
                  <w:pPr>
                    <w:numPr>
                      <w:ilvl w:val="0"/>
                      <w:numId w:val="3"/>
                    </w:num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库内安装固定的喷干雾装置。</w:t>
                  </w:r>
                </w:p>
                <w:p>
                  <w:pPr>
                    <w:numPr>
                      <w:ilvl w:val="0"/>
                      <w:numId w:val="3"/>
                    </w:num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厂区出口应安装工车辆冲洗装置，保证出场车辆车轮车身干净、运行不起尘</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（二）物料输送环节治理。</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1、散状物料采用封闭式输送方式，皮带输送机受料点、卸料点应设置密闭罩，并配备除尘设施。</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2、皮带输送机或物料提升机需在密闭廊道内运行，并在所有落料位置设置集尘装置及配备除尘系统。</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3、运输车辆装载高度最高点不得超过车辆槽帮上沿40厘米，两侧边缘应当低于槽帮上缘10厘米，车斗应采用苫布覆盖，苫布边缘至少要遮住槽帮上沿以下15厘米，禁止厂内露天转运散状物料。</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4、除尘器卸灰不直接卸落到地面，卸灰区封闭。除尘灰采用气力输送、罐车等密闭方式运输；采用非密闭方式运输的，车辆应苫盖，装卸车时应采取加湿等措施抑尘。</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（三）生产环节治理。</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1、上料口半封闭并安装除尘设施，主要工艺产尘节点安装封闭式集尘装置并配备处理系统，厂房内设置喷干雾抑尘措施。</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2、产生VOCs的工序应有完善的废气收集及处理系统。</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3、其他方面：禁止生产车间内散放原料，需采用全封闭式/地下料仓，并配备完备的废气收集和处理系统，生产环节必须在密闭良好的车间内运行，并配备完善的废气收集和处理系统。</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（四）厂区车辆治理</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1、厂区道路硬化，平整无破损，无积尘，厂区无裸露空地，闲置裸露空地绿化。</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2、对厂区道路定期洒水清扫。</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3、企业出厂口和料场出口处配备高压清洗装置对所有车辆车轮、底盘进行冲洗，严禁带泥上路。洗车平台四周应设置洗车废水收集防治设施。</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（五）建设完善监测系统</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1、因企制宜安装视频、空气微站、降尘缸、TSP（总悬浮颗粒物）等监控设施。</w:t>
                  </w:r>
                </w:p>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2、安装在线监测、监控和空气质量监测等综合监控信息平台，主要排放数据等应在企业显眼位置随时公开。</w:t>
                  </w:r>
                </w:p>
              </w:tc>
              <w:tc>
                <w:tcPr>
                  <w:tcW w:w="929" w:type="pct"/>
                  <w:vAlign w:val="center"/>
                </w:tcPr>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项目原辅材料无粉状物料，原料储存区位于厂房内，物料运输环节不产生无组织废气；产生颗粒物的工序按要求</w:t>
                  </w:r>
                  <w:r>
                    <w:rPr>
                      <w:rFonts w:hint="eastAsia" w:ascii="Times New Roman" w:hAnsi="Times New Roman" w:cs="Times New Roman"/>
                      <w:bCs/>
                      <w:sz w:val="21"/>
                      <w:szCs w:val="21"/>
                    </w:rPr>
                    <w:t>采用集气罩收集后引致脉冲式袋式除尘器治理后，尾气通过1根15m高排气筒排放，对桌面、地面散落粉尘采用工业级吸尘器进行定期清理</w:t>
                  </w:r>
                  <w:r>
                    <w:rPr>
                      <w:rFonts w:ascii="Times New Roman" w:hAnsi="Times New Roman" w:cs="Times New Roman"/>
                      <w:bCs/>
                      <w:sz w:val="21"/>
                      <w:szCs w:val="21"/>
                    </w:rPr>
                    <w:t>。</w:t>
                  </w:r>
                </w:p>
              </w:tc>
              <w:tc>
                <w:tcPr>
                  <w:tcW w:w="648" w:type="pct"/>
                  <w:vAlign w:val="center"/>
                </w:tcPr>
                <w:p>
                  <w:pPr>
                    <w:adjustRightInd w:val="0"/>
                    <w:snapToGrid w:val="0"/>
                    <w:spacing w:line="288" w:lineRule="auto"/>
                    <w:rPr>
                      <w:rFonts w:ascii="Times New Roman" w:hAnsi="Times New Roman" w:cs="Times New Roman"/>
                      <w:bCs/>
                      <w:sz w:val="21"/>
                      <w:szCs w:val="21"/>
                    </w:rPr>
                  </w:pPr>
                  <w:r>
                    <w:rPr>
                      <w:rFonts w:ascii="Times New Roman" w:hAnsi="Times New Roman" w:cs="Times New Roman"/>
                      <w:bCs/>
                      <w:sz w:val="21"/>
                      <w:szCs w:val="21"/>
                    </w:rPr>
                    <w:t>符合</w:t>
                  </w:r>
                </w:p>
              </w:tc>
            </w:tr>
          </w:tbl>
          <w:p>
            <w:pPr>
              <w:pStyle w:val="24"/>
              <w:adjustRightInd w:val="0"/>
              <w:spacing w:before="0" w:beforeAutospacing="0" w:after="0" w:afterAutospacing="0" w:line="360" w:lineRule="auto"/>
              <w:ind w:firstLine="436" w:firstLineChars="182"/>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6.6 与《新乡市环境保护局关于印发深化建设项目环境影响评价审批制度改革实施细则的通知》（新环[2015]342号）的符合性</w:t>
            </w:r>
          </w:p>
          <w:p>
            <w:pPr>
              <w:pStyle w:val="24"/>
              <w:adjustRightInd w:val="0"/>
              <w:spacing w:before="0" w:beforeAutospacing="0" w:after="0" w:afterAutospacing="0" w:line="360" w:lineRule="auto"/>
              <w:ind w:firstLine="436" w:firstLineChars="182"/>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与《新乡市环境保护局关于印发深化建设项目环境影响评价审批制度改革实施细则的通知》（新环[2015]342号）（以下简称“通知”)的对照分析见表10。</w:t>
            </w:r>
          </w:p>
          <w:p>
            <w:pPr>
              <w:pStyle w:val="10"/>
              <w:spacing w:before="93" w:beforeLines="30" w:after="93" w:afterLines="30"/>
              <w:jc w:val="center"/>
              <w:rPr>
                <w:rFonts w:ascii="Times New Roman" w:hAnsi="Times New Roman" w:cs="Times New Roman"/>
                <w:b/>
                <w:bCs/>
                <w:sz w:val="22"/>
                <w:szCs w:val="22"/>
                <w:highlight w:val="green"/>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10</w:t>
            </w:r>
            <w:r>
              <w:rPr>
                <w:rFonts w:ascii="Times New Roman" w:hAnsi="Times New Roman" w:cs="Times New Roman"/>
                <w:b/>
                <w:bCs/>
                <w:sz w:val="22"/>
                <w:szCs w:val="22"/>
              </w:rPr>
              <w:fldChar w:fldCharType="end"/>
            </w:r>
            <w:r>
              <w:rPr>
                <w:rFonts w:hint="eastAsia" w:ascii="Times New Roman" w:hAnsi="Times New Roman" w:eastAsia="宋体" w:cs="Times New Roman"/>
                <w:b/>
                <w:bCs/>
                <w:sz w:val="22"/>
                <w:szCs w:val="22"/>
              </w:rPr>
              <w:t xml:space="preserve"> </w:t>
            </w:r>
            <w:r>
              <w:rPr>
                <w:rFonts w:ascii="Times New Roman" w:hAnsi="Times New Roman" w:cs="Times New Roman"/>
                <w:b/>
                <w:bCs/>
                <w:sz w:val="22"/>
                <w:szCs w:val="22"/>
              </w:rPr>
              <w:t>与《通知》对比分析一览表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1061"/>
              <w:gridCol w:w="2864"/>
              <w:gridCol w:w="2101"/>
              <w:gridCol w:w="1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40" w:type="pct"/>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2298" w:type="pct"/>
                  <w:gridSpan w:val="2"/>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与本项目相关条文</w:t>
                  </w:r>
                </w:p>
              </w:tc>
              <w:tc>
                <w:tcPr>
                  <w:tcW w:w="1230" w:type="pct"/>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本项目情况</w:t>
                  </w:r>
                </w:p>
              </w:tc>
              <w:tc>
                <w:tcPr>
                  <w:tcW w:w="730" w:type="pct"/>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740" w:type="pct"/>
                  <w:vMerge w:val="restart"/>
                  <w:vAlign w:val="center"/>
                </w:tcPr>
                <w:p>
                  <w:pPr>
                    <w:spacing w:line="288" w:lineRule="auto"/>
                    <w:jc w:val="center"/>
                    <w:rPr>
                      <w:rFonts w:ascii="宋体" w:hAnsi="宋体" w:cs="宋体"/>
                      <w:sz w:val="21"/>
                      <w:szCs w:val="21"/>
                    </w:rPr>
                  </w:pPr>
                  <w:r>
                    <w:rPr>
                      <w:rFonts w:hint="eastAsia" w:ascii="宋体" w:hAnsi="宋体" w:cs="宋体"/>
                      <w:sz w:val="21"/>
                      <w:szCs w:val="21"/>
                    </w:rPr>
                    <w:t>新乡市主体功能区分</w:t>
                  </w:r>
                </w:p>
              </w:tc>
              <w:tc>
                <w:tcPr>
                  <w:tcW w:w="2298" w:type="pct"/>
                  <w:gridSpan w:val="2"/>
                  <w:vAlign w:val="center"/>
                </w:tcPr>
                <w:p>
                  <w:pPr>
                    <w:spacing w:line="288" w:lineRule="auto"/>
                    <w:rPr>
                      <w:rFonts w:ascii="宋体" w:hAnsi="宋体" w:cs="宋体"/>
                      <w:sz w:val="21"/>
                      <w:szCs w:val="21"/>
                    </w:rPr>
                  </w:pPr>
                  <w:r>
                    <w:rPr>
                      <w:rFonts w:hint="eastAsia" w:ascii="宋体" w:hAnsi="宋体" w:cs="宋体"/>
                      <w:sz w:val="21"/>
                      <w:szCs w:val="21"/>
                    </w:rPr>
                    <w:t>工业准入优先区：我市范围内的省级产业集聚区、市级人民政府规范设立的工业园区或专业园区。</w:t>
                  </w:r>
                </w:p>
              </w:tc>
              <w:tc>
                <w:tcPr>
                  <w:tcW w:w="1230" w:type="pct"/>
                  <w:vMerge w:val="restart"/>
                  <w:vAlign w:val="center"/>
                </w:tcPr>
                <w:p>
                  <w:pPr>
                    <w:spacing w:line="288" w:lineRule="auto"/>
                    <w:jc w:val="center"/>
                    <w:rPr>
                      <w:rFonts w:ascii="宋体" w:hAnsi="宋体" w:cs="宋体"/>
                      <w:sz w:val="21"/>
                      <w:szCs w:val="21"/>
                      <w:highlight w:val="yellow"/>
                    </w:rPr>
                  </w:pPr>
                  <w:r>
                    <w:rPr>
                      <w:rFonts w:hint="eastAsia" w:ascii="宋体" w:hAnsi="宋体" w:cs="宋体"/>
                      <w:sz w:val="21"/>
                      <w:szCs w:val="21"/>
                    </w:rPr>
                    <w:t>项目厂址位于新乡经济技术开发区，属于新乡工业产业集聚区</w:t>
                  </w:r>
                </w:p>
              </w:tc>
              <w:tc>
                <w:tcPr>
                  <w:tcW w:w="730" w:type="pct"/>
                  <w:vAlign w:val="center"/>
                </w:tcPr>
                <w:p>
                  <w:pPr>
                    <w:spacing w:line="288" w:lineRule="auto"/>
                    <w:jc w:val="center"/>
                    <w:rPr>
                      <w:rFonts w:ascii="宋体" w:hAnsi="宋体" w:cs="宋体"/>
                      <w:sz w:val="21"/>
                      <w:szCs w:val="21"/>
                    </w:rPr>
                  </w:pPr>
                  <w:r>
                    <w:rPr>
                      <w:rFonts w:hint="eastAsia" w:ascii="宋体" w:hAnsi="宋体" w:cs="宋体"/>
                      <w:sz w:val="21"/>
                      <w:szCs w:val="21"/>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740" w:type="pct"/>
                  <w:vMerge w:val="continue"/>
                  <w:vAlign w:val="center"/>
                </w:tcPr>
                <w:p>
                  <w:pPr>
                    <w:spacing w:line="288" w:lineRule="auto"/>
                    <w:jc w:val="center"/>
                    <w:rPr>
                      <w:rFonts w:ascii="宋体" w:hAnsi="宋体" w:cs="宋体"/>
                      <w:sz w:val="21"/>
                      <w:szCs w:val="21"/>
                    </w:rPr>
                  </w:pPr>
                </w:p>
              </w:tc>
              <w:tc>
                <w:tcPr>
                  <w:tcW w:w="2298" w:type="pct"/>
                  <w:gridSpan w:val="2"/>
                  <w:vAlign w:val="center"/>
                </w:tcPr>
                <w:p>
                  <w:pPr>
                    <w:spacing w:line="288" w:lineRule="auto"/>
                    <w:rPr>
                      <w:rFonts w:ascii="宋体" w:hAnsi="宋体" w:cs="宋体"/>
                      <w:sz w:val="21"/>
                      <w:szCs w:val="21"/>
                    </w:rPr>
                  </w:pPr>
                  <w:r>
                    <w:rPr>
                      <w:rFonts w:hint="eastAsia" w:ascii="宋体" w:hAnsi="宋体" w:cs="宋体"/>
                      <w:sz w:val="21"/>
                      <w:szCs w:val="21"/>
                    </w:rPr>
                    <w:t>城市人居功能区：新乡市市区（含平原城乡一体示范区）、县城建成区，以及规划区中以居住、商贸、文教科研为主的区域。</w:t>
                  </w:r>
                </w:p>
              </w:tc>
              <w:tc>
                <w:tcPr>
                  <w:tcW w:w="1230" w:type="pct"/>
                  <w:vMerge w:val="continue"/>
                  <w:vAlign w:val="center"/>
                </w:tcPr>
                <w:p>
                  <w:pPr>
                    <w:spacing w:line="288" w:lineRule="auto"/>
                    <w:jc w:val="center"/>
                    <w:rPr>
                      <w:rFonts w:ascii="宋体" w:hAnsi="宋体" w:cs="宋体"/>
                      <w:sz w:val="21"/>
                      <w:szCs w:val="21"/>
                    </w:rPr>
                  </w:pPr>
                </w:p>
              </w:tc>
              <w:tc>
                <w:tcPr>
                  <w:tcW w:w="730" w:type="pct"/>
                  <w:vAlign w:val="center"/>
                </w:tcPr>
                <w:p>
                  <w:pPr>
                    <w:spacing w:line="288" w:lineRule="auto"/>
                    <w:jc w:val="center"/>
                    <w:rPr>
                      <w:rFonts w:ascii="宋体" w:hAnsi="宋体" w:cs="宋体"/>
                      <w:sz w:val="21"/>
                      <w:szCs w:val="21"/>
                    </w:rPr>
                  </w:pPr>
                  <w:r>
                    <w:rPr>
                      <w:rFonts w:hint="eastAsia" w:ascii="宋体" w:hAnsi="宋体" w:cs="宋体"/>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40" w:type="pct"/>
                  <w:vMerge w:val="continue"/>
                  <w:vAlign w:val="center"/>
                </w:tcPr>
                <w:p>
                  <w:pPr>
                    <w:spacing w:line="288" w:lineRule="auto"/>
                    <w:jc w:val="center"/>
                    <w:rPr>
                      <w:rFonts w:ascii="宋体" w:hAnsi="宋体" w:cs="宋体"/>
                      <w:sz w:val="21"/>
                      <w:szCs w:val="21"/>
                    </w:rPr>
                  </w:pPr>
                </w:p>
              </w:tc>
              <w:tc>
                <w:tcPr>
                  <w:tcW w:w="2298" w:type="pct"/>
                  <w:gridSpan w:val="2"/>
                  <w:vAlign w:val="center"/>
                </w:tcPr>
                <w:p>
                  <w:pPr>
                    <w:spacing w:line="288" w:lineRule="auto"/>
                    <w:rPr>
                      <w:rFonts w:ascii="宋体" w:hAnsi="宋体" w:cs="宋体"/>
                      <w:sz w:val="21"/>
                      <w:szCs w:val="21"/>
                    </w:rPr>
                  </w:pPr>
                  <w:r>
                    <w:rPr>
                      <w:rFonts w:hint="eastAsia" w:ascii="宋体" w:hAnsi="宋体" w:cs="宋体"/>
                      <w:sz w:val="21"/>
                      <w:szCs w:val="21"/>
                    </w:rPr>
                    <w:t>农产品主产区：辉县市、获嘉县、原阳县、延津县、封丘县。（不含产业集聚区、专业园区和县城建成区以及规划区中以居住、商贸、文教科研为主的区域）</w:t>
                  </w:r>
                </w:p>
              </w:tc>
              <w:tc>
                <w:tcPr>
                  <w:tcW w:w="1230" w:type="pct"/>
                  <w:vMerge w:val="continue"/>
                  <w:vAlign w:val="center"/>
                </w:tcPr>
                <w:p>
                  <w:pPr>
                    <w:spacing w:line="288" w:lineRule="auto"/>
                    <w:jc w:val="center"/>
                    <w:rPr>
                      <w:rFonts w:ascii="宋体" w:hAnsi="宋体" w:cs="宋体"/>
                      <w:sz w:val="21"/>
                      <w:szCs w:val="21"/>
                      <w:highlight w:val="yellow"/>
                    </w:rPr>
                  </w:pPr>
                </w:p>
              </w:tc>
              <w:tc>
                <w:tcPr>
                  <w:tcW w:w="730" w:type="pct"/>
                  <w:vAlign w:val="center"/>
                </w:tcPr>
                <w:p>
                  <w:pPr>
                    <w:spacing w:line="288" w:lineRule="auto"/>
                    <w:jc w:val="center"/>
                    <w:rPr>
                      <w:rFonts w:ascii="宋体" w:hAnsi="宋体" w:cs="宋体"/>
                      <w:sz w:val="21"/>
                      <w:szCs w:val="21"/>
                    </w:rPr>
                  </w:pPr>
                  <w:r>
                    <w:rPr>
                      <w:rFonts w:hint="eastAsia" w:ascii="宋体" w:hAnsi="宋体" w:cs="宋体"/>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40" w:type="pct"/>
                  <w:vMerge w:val="continue"/>
                  <w:vAlign w:val="center"/>
                </w:tcPr>
                <w:p>
                  <w:pPr>
                    <w:spacing w:line="288" w:lineRule="auto"/>
                    <w:jc w:val="center"/>
                    <w:rPr>
                      <w:rFonts w:ascii="宋体" w:hAnsi="宋体" w:cs="宋体"/>
                      <w:sz w:val="21"/>
                      <w:szCs w:val="21"/>
                    </w:rPr>
                  </w:pPr>
                </w:p>
              </w:tc>
              <w:tc>
                <w:tcPr>
                  <w:tcW w:w="621" w:type="pct"/>
                  <w:vAlign w:val="center"/>
                </w:tcPr>
                <w:p>
                  <w:pPr>
                    <w:spacing w:line="288" w:lineRule="auto"/>
                    <w:jc w:val="center"/>
                    <w:rPr>
                      <w:rFonts w:ascii="宋体" w:hAnsi="宋体" w:cs="宋体"/>
                      <w:sz w:val="21"/>
                      <w:szCs w:val="21"/>
                    </w:rPr>
                  </w:pPr>
                  <w:r>
                    <w:rPr>
                      <w:rFonts w:hint="eastAsia" w:ascii="宋体" w:hAnsi="宋体" w:cs="宋体"/>
                      <w:sz w:val="21"/>
                      <w:szCs w:val="21"/>
                    </w:rPr>
                    <w:t>禁止开发区</w:t>
                  </w:r>
                </w:p>
              </w:tc>
              <w:tc>
                <w:tcPr>
                  <w:tcW w:w="1676" w:type="pct"/>
                  <w:vAlign w:val="center"/>
                </w:tcPr>
                <w:p>
                  <w:pPr>
                    <w:spacing w:line="288" w:lineRule="auto"/>
                    <w:rPr>
                      <w:rFonts w:ascii="宋体" w:hAnsi="宋体" w:cs="宋体"/>
                      <w:sz w:val="21"/>
                      <w:szCs w:val="21"/>
                    </w:rPr>
                  </w:pPr>
                  <w:r>
                    <w:rPr>
                      <w:rFonts w:hint="eastAsia" w:ascii="宋体" w:hAnsi="宋体" w:cs="宋体"/>
                      <w:sz w:val="21"/>
                      <w:szCs w:val="21"/>
                    </w:rPr>
                    <w:t>国家、省级自然保护区，世界文化自然遗产，国家、省级风景名胜区，国家，省级森林公园，国家级、省级地质公园，国家、省级湿地公园，国家级、省级水产种植资源保护区</w:t>
                  </w:r>
                </w:p>
              </w:tc>
              <w:tc>
                <w:tcPr>
                  <w:tcW w:w="1230" w:type="pct"/>
                  <w:vMerge w:val="continue"/>
                  <w:vAlign w:val="center"/>
                </w:tcPr>
                <w:p>
                  <w:pPr>
                    <w:spacing w:line="288" w:lineRule="auto"/>
                    <w:jc w:val="center"/>
                    <w:rPr>
                      <w:rFonts w:ascii="宋体" w:hAnsi="宋体" w:cs="宋体"/>
                      <w:sz w:val="21"/>
                      <w:szCs w:val="21"/>
                      <w:highlight w:val="yellow"/>
                    </w:rPr>
                  </w:pPr>
                </w:p>
              </w:tc>
              <w:tc>
                <w:tcPr>
                  <w:tcW w:w="730" w:type="pct"/>
                  <w:vAlign w:val="center"/>
                </w:tcPr>
                <w:p>
                  <w:pPr>
                    <w:spacing w:line="288" w:lineRule="auto"/>
                    <w:jc w:val="center"/>
                    <w:rPr>
                      <w:rFonts w:ascii="宋体" w:hAnsi="宋体" w:cs="宋体"/>
                      <w:sz w:val="21"/>
                      <w:szCs w:val="21"/>
                    </w:rPr>
                  </w:pPr>
                  <w:r>
                    <w:rPr>
                      <w:rFonts w:hint="eastAsia" w:ascii="宋体" w:hAnsi="宋体" w:cs="宋体"/>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740" w:type="pct"/>
                  <w:vAlign w:val="center"/>
                </w:tcPr>
                <w:p>
                  <w:pPr>
                    <w:spacing w:line="288" w:lineRule="auto"/>
                    <w:jc w:val="center"/>
                    <w:rPr>
                      <w:rFonts w:ascii="宋体" w:hAnsi="宋体" w:cs="宋体"/>
                      <w:sz w:val="21"/>
                      <w:szCs w:val="21"/>
                    </w:rPr>
                  </w:pPr>
                  <w:r>
                    <w:rPr>
                      <w:rFonts w:hint="eastAsia" w:ascii="宋体" w:hAnsi="宋体" w:cs="宋体"/>
                      <w:sz w:val="21"/>
                      <w:szCs w:val="21"/>
                    </w:rPr>
                    <w:t>集中水源地保护区</w:t>
                  </w:r>
                </w:p>
              </w:tc>
              <w:tc>
                <w:tcPr>
                  <w:tcW w:w="621" w:type="pct"/>
                  <w:vAlign w:val="center"/>
                </w:tcPr>
                <w:p>
                  <w:pPr>
                    <w:spacing w:line="288" w:lineRule="auto"/>
                    <w:jc w:val="center"/>
                    <w:rPr>
                      <w:rFonts w:ascii="宋体" w:hAnsi="宋体" w:cs="宋体"/>
                      <w:sz w:val="21"/>
                      <w:szCs w:val="21"/>
                    </w:rPr>
                  </w:pPr>
                  <w:r>
                    <w:rPr>
                      <w:rFonts w:hint="eastAsia" w:ascii="宋体" w:hAnsi="宋体" w:cs="宋体"/>
                      <w:sz w:val="21"/>
                      <w:szCs w:val="21"/>
                    </w:rPr>
                    <w:t>无相关内容</w:t>
                  </w:r>
                </w:p>
              </w:tc>
              <w:tc>
                <w:tcPr>
                  <w:tcW w:w="1676" w:type="pct"/>
                  <w:vAlign w:val="center"/>
                </w:tcPr>
                <w:p>
                  <w:pPr>
                    <w:spacing w:line="288" w:lineRule="auto"/>
                    <w:jc w:val="center"/>
                    <w:rPr>
                      <w:rFonts w:ascii="宋体" w:hAnsi="宋体" w:cs="宋体"/>
                      <w:sz w:val="21"/>
                      <w:szCs w:val="21"/>
                    </w:rPr>
                  </w:pPr>
                  <w:r>
                    <w:rPr>
                      <w:rFonts w:hint="eastAsia" w:ascii="宋体" w:hAnsi="宋体" w:cs="宋体"/>
                      <w:sz w:val="21"/>
                      <w:szCs w:val="21"/>
                    </w:rPr>
                    <w:t>/</w:t>
                  </w:r>
                </w:p>
              </w:tc>
              <w:tc>
                <w:tcPr>
                  <w:tcW w:w="1230" w:type="pct"/>
                  <w:vAlign w:val="center"/>
                </w:tcPr>
                <w:p>
                  <w:pPr>
                    <w:spacing w:line="288" w:lineRule="auto"/>
                    <w:jc w:val="center"/>
                    <w:rPr>
                      <w:rFonts w:ascii="宋体" w:hAnsi="宋体" w:cs="宋体"/>
                      <w:sz w:val="21"/>
                      <w:szCs w:val="21"/>
                    </w:rPr>
                  </w:pPr>
                  <w:r>
                    <w:rPr>
                      <w:rFonts w:hint="eastAsia" w:ascii="宋体" w:hAnsi="宋体" w:cs="宋体"/>
                      <w:sz w:val="21"/>
                      <w:szCs w:val="21"/>
                    </w:rPr>
                    <w:t>项目周边无集中水源地保护区</w:t>
                  </w:r>
                </w:p>
              </w:tc>
              <w:tc>
                <w:tcPr>
                  <w:tcW w:w="730" w:type="pct"/>
                  <w:vAlign w:val="center"/>
                </w:tcPr>
                <w:p>
                  <w:pPr>
                    <w:spacing w:line="288" w:lineRule="auto"/>
                    <w:jc w:val="center"/>
                    <w:rPr>
                      <w:rFonts w:ascii="宋体" w:hAnsi="宋体" w:cs="宋体"/>
                      <w:sz w:val="21"/>
                      <w:szCs w:val="21"/>
                    </w:rPr>
                  </w:pPr>
                  <w:r>
                    <w:rPr>
                      <w:rFonts w:hint="eastAsia" w:ascii="宋体" w:hAnsi="宋体" w:cs="宋体"/>
                      <w:sz w:val="21"/>
                      <w:szCs w:val="21"/>
                    </w:rPr>
                    <w:t>项目周边无集中水源地保护区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740" w:type="pct"/>
                  <w:vMerge w:val="restart"/>
                  <w:vAlign w:val="center"/>
                </w:tcPr>
                <w:p>
                  <w:pPr>
                    <w:spacing w:line="288" w:lineRule="auto"/>
                    <w:jc w:val="center"/>
                    <w:rPr>
                      <w:rFonts w:ascii="宋体" w:hAnsi="宋体" w:cs="宋体"/>
                      <w:sz w:val="21"/>
                      <w:szCs w:val="21"/>
                    </w:rPr>
                  </w:pPr>
                  <w:r>
                    <w:rPr>
                      <w:rFonts w:hint="eastAsia" w:ascii="宋体" w:hAnsi="宋体" w:cs="宋体"/>
                      <w:sz w:val="21"/>
                      <w:szCs w:val="21"/>
                    </w:rPr>
                    <w:t>污染防治（控）重点单元</w:t>
                  </w:r>
                </w:p>
              </w:tc>
              <w:tc>
                <w:tcPr>
                  <w:tcW w:w="621" w:type="pct"/>
                  <w:vAlign w:val="center"/>
                </w:tcPr>
                <w:p>
                  <w:pPr>
                    <w:spacing w:line="288" w:lineRule="auto"/>
                    <w:jc w:val="center"/>
                    <w:rPr>
                      <w:rFonts w:ascii="宋体" w:hAnsi="宋体" w:cs="宋体"/>
                      <w:sz w:val="21"/>
                      <w:szCs w:val="21"/>
                    </w:rPr>
                  </w:pPr>
                  <w:r>
                    <w:rPr>
                      <w:rFonts w:hint="eastAsia" w:ascii="宋体" w:hAnsi="宋体" w:cs="宋体"/>
                      <w:sz w:val="21"/>
                      <w:szCs w:val="21"/>
                    </w:rPr>
                    <w:t>水污染</w:t>
                  </w:r>
                </w:p>
              </w:tc>
              <w:tc>
                <w:tcPr>
                  <w:tcW w:w="1676" w:type="pct"/>
                  <w:vAlign w:val="center"/>
                </w:tcPr>
                <w:p>
                  <w:pPr>
                    <w:spacing w:line="288" w:lineRule="auto"/>
                    <w:rPr>
                      <w:rFonts w:ascii="宋体" w:hAnsi="宋体" w:cs="宋体"/>
                      <w:sz w:val="21"/>
                      <w:szCs w:val="21"/>
                    </w:rPr>
                  </w:pPr>
                  <w:r>
                    <w:rPr>
                      <w:rFonts w:hint="eastAsia" w:ascii="宋体" w:hAnsi="宋体" w:cs="宋体"/>
                      <w:sz w:val="21"/>
                      <w:szCs w:val="21"/>
                    </w:rPr>
                    <w:t>卫河流域：新乡市区、新乡县、卫辉市、辉县市、获嘉县</w:t>
                  </w:r>
                </w:p>
              </w:tc>
              <w:tc>
                <w:tcPr>
                  <w:tcW w:w="1230" w:type="pct"/>
                  <w:vMerge w:val="restart"/>
                  <w:vAlign w:val="center"/>
                </w:tcPr>
                <w:p>
                  <w:pPr>
                    <w:spacing w:line="288" w:lineRule="auto"/>
                    <w:jc w:val="center"/>
                    <w:rPr>
                      <w:rFonts w:ascii="宋体" w:hAnsi="宋体" w:cs="宋体"/>
                      <w:sz w:val="21"/>
                      <w:szCs w:val="21"/>
                    </w:rPr>
                  </w:pPr>
                  <w:r>
                    <w:rPr>
                      <w:rFonts w:hint="eastAsia" w:ascii="宋体" w:hAnsi="宋体" w:cs="宋体"/>
                      <w:sz w:val="21"/>
                      <w:szCs w:val="21"/>
                    </w:rPr>
                    <w:t>项目厂址位于新乡经济技术开发区</w:t>
                  </w:r>
                </w:p>
              </w:tc>
              <w:tc>
                <w:tcPr>
                  <w:tcW w:w="730" w:type="pct"/>
                  <w:vAlign w:val="center"/>
                </w:tcPr>
                <w:p>
                  <w:pPr>
                    <w:spacing w:line="288" w:lineRule="auto"/>
                    <w:jc w:val="center"/>
                    <w:rPr>
                      <w:rFonts w:ascii="宋体" w:hAnsi="宋体" w:cs="宋体"/>
                      <w:sz w:val="21"/>
                      <w:szCs w:val="21"/>
                    </w:rPr>
                  </w:pPr>
                  <w:r>
                    <w:rPr>
                      <w:rFonts w:hint="eastAsia" w:ascii="宋体" w:hAnsi="宋体" w:cs="宋体"/>
                      <w:sz w:val="21"/>
                      <w:szCs w:val="21"/>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40" w:type="pct"/>
                  <w:vMerge w:val="continue"/>
                  <w:vAlign w:val="center"/>
                </w:tcPr>
                <w:p>
                  <w:pPr>
                    <w:spacing w:line="288" w:lineRule="auto"/>
                    <w:jc w:val="center"/>
                    <w:rPr>
                      <w:rFonts w:ascii="宋体" w:hAnsi="宋体" w:cs="宋体"/>
                      <w:sz w:val="21"/>
                      <w:szCs w:val="21"/>
                    </w:rPr>
                  </w:pPr>
                </w:p>
              </w:tc>
              <w:tc>
                <w:tcPr>
                  <w:tcW w:w="621" w:type="pct"/>
                  <w:vAlign w:val="center"/>
                </w:tcPr>
                <w:p>
                  <w:pPr>
                    <w:spacing w:line="288" w:lineRule="auto"/>
                    <w:jc w:val="center"/>
                    <w:rPr>
                      <w:rFonts w:ascii="宋体" w:hAnsi="宋体" w:cs="宋体"/>
                      <w:sz w:val="21"/>
                      <w:szCs w:val="21"/>
                    </w:rPr>
                  </w:pPr>
                  <w:r>
                    <w:rPr>
                      <w:rFonts w:hint="eastAsia" w:ascii="宋体" w:hAnsi="宋体" w:cs="宋体"/>
                      <w:sz w:val="21"/>
                      <w:szCs w:val="21"/>
                    </w:rPr>
                    <w:t>大气污染</w:t>
                  </w:r>
                </w:p>
              </w:tc>
              <w:tc>
                <w:tcPr>
                  <w:tcW w:w="1676" w:type="pct"/>
                  <w:vAlign w:val="center"/>
                </w:tcPr>
                <w:p>
                  <w:pPr>
                    <w:spacing w:line="288" w:lineRule="auto"/>
                    <w:jc w:val="center"/>
                    <w:rPr>
                      <w:rFonts w:ascii="宋体" w:hAnsi="宋体" w:cs="宋体"/>
                      <w:sz w:val="21"/>
                      <w:szCs w:val="21"/>
                    </w:rPr>
                  </w:pPr>
                  <w:r>
                    <w:rPr>
                      <w:rFonts w:hint="eastAsia" w:ascii="宋体" w:hAnsi="宋体" w:cs="宋体"/>
                      <w:sz w:val="21"/>
                      <w:szCs w:val="21"/>
                    </w:rPr>
                    <w:t>新乡市域全部</w:t>
                  </w:r>
                </w:p>
              </w:tc>
              <w:tc>
                <w:tcPr>
                  <w:tcW w:w="1230" w:type="pct"/>
                  <w:vMerge w:val="continue"/>
                  <w:vAlign w:val="center"/>
                </w:tcPr>
                <w:p>
                  <w:pPr>
                    <w:spacing w:line="288" w:lineRule="auto"/>
                    <w:jc w:val="center"/>
                    <w:rPr>
                      <w:rFonts w:ascii="宋体" w:hAnsi="宋体" w:cs="宋体"/>
                      <w:sz w:val="21"/>
                      <w:szCs w:val="21"/>
                    </w:rPr>
                  </w:pPr>
                </w:p>
              </w:tc>
              <w:tc>
                <w:tcPr>
                  <w:tcW w:w="730" w:type="pct"/>
                  <w:vAlign w:val="center"/>
                </w:tcPr>
                <w:p>
                  <w:pPr>
                    <w:spacing w:line="288" w:lineRule="auto"/>
                    <w:jc w:val="center"/>
                    <w:rPr>
                      <w:rFonts w:ascii="宋体" w:hAnsi="宋体" w:cs="宋体"/>
                      <w:sz w:val="21"/>
                      <w:szCs w:val="21"/>
                    </w:rPr>
                  </w:pPr>
                  <w:r>
                    <w:rPr>
                      <w:rFonts w:hint="eastAsia" w:ascii="宋体" w:hAnsi="宋体" w:cs="宋体"/>
                      <w:sz w:val="21"/>
                      <w:szCs w:val="21"/>
                    </w:rPr>
                    <w:t>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pct"/>
                  <w:vMerge w:val="continue"/>
                  <w:vAlign w:val="center"/>
                </w:tcPr>
                <w:p>
                  <w:pPr>
                    <w:spacing w:line="288" w:lineRule="auto"/>
                    <w:jc w:val="center"/>
                    <w:rPr>
                      <w:rFonts w:ascii="宋体" w:hAnsi="宋体" w:cs="宋体"/>
                      <w:sz w:val="21"/>
                      <w:szCs w:val="21"/>
                    </w:rPr>
                  </w:pPr>
                </w:p>
              </w:tc>
              <w:tc>
                <w:tcPr>
                  <w:tcW w:w="621" w:type="pct"/>
                  <w:vAlign w:val="center"/>
                </w:tcPr>
                <w:p>
                  <w:pPr>
                    <w:spacing w:line="288" w:lineRule="auto"/>
                    <w:jc w:val="center"/>
                    <w:rPr>
                      <w:rFonts w:ascii="宋体" w:hAnsi="宋体" w:cs="宋体"/>
                      <w:sz w:val="21"/>
                      <w:szCs w:val="21"/>
                    </w:rPr>
                  </w:pPr>
                  <w:r>
                    <w:rPr>
                      <w:rFonts w:hint="eastAsia" w:ascii="宋体" w:hAnsi="宋体" w:cs="宋体"/>
                      <w:sz w:val="21"/>
                      <w:szCs w:val="21"/>
                    </w:rPr>
                    <w:t>重金属</w:t>
                  </w:r>
                </w:p>
                <w:p>
                  <w:pPr>
                    <w:spacing w:line="288" w:lineRule="auto"/>
                    <w:jc w:val="center"/>
                    <w:rPr>
                      <w:rFonts w:ascii="宋体" w:hAnsi="宋体" w:cs="宋体"/>
                      <w:sz w:val="21"/>
                      <w:szCs w:val="21"/>
                    </w:rPr>
                  </w:pPr>
                  <w:r>
                    <w:rPr>
                      <w:rFonts w:hint="eastAsia" w:ascii="宋体" w:hAnsi="宋体" w:cs="宋体"/>
                      <w:sz w:val="21"/>
                      <w:szCs w:val="21"/>
                    </w:rPr>
                    <w:t>污染</w:t>
                  </w:r>
                </w:p>
              </w:tc>
              <w:tc>
                <w:tcPr>
                  <w:tcW w:w="1676" w:type="pct"/>
                  <w:vAlign w:val="center"/>
                </w:tcPr>
                <w:p>
                  <w:pPr>
                    <w:spacing w:line="288" w:lineRule="auto"/>
                    <w:jc w:val="center"/>
                    <w:rPr>
                      <w:rFonts w:ascii="宋体" w:hAnsi="宋体" w:cs="宋体"/>
                      <w:sz w:val="21"/>
                      <w:szCs w:val="21"/>
                    </w:rPr>
                  </w:pPr>
                  <w:r>
                    <w:rPr>
                      <w:rFonts w:hint="eastAsia" w:ascii="宋体" w:hAnsi="宋体" w:cs="宋体"/>
                      <w:sz w:val="21"/>
                      <w:szCs w:val="21"/>
                    </w:rPr>
                    <w:t>新乡县、凤泉区</w:t>
                  </w:r>
                </w:p>
                <w:p>
                  <w:pPr>
                    <w:spacing w:line="288" w:lineRule="auto"/>
                    <w:jc w:val="center"/>
                    <w:rPr>
                      <w:rFonts w:ascii="宋体" w:hAnsi="宋体" w:cs="宋体"/>
                      <w:sz w:val="21"/>
                      <w:szCs w:val="21"/>
                    </w:rPr>
                  </w:pPr>
                  <w:r>
                    <w:rPr>
                      <w:rFonts w:hint="eastAsia" w:ascii="宋体" w:hAnsi="宋体" w:cs="宋体"/>
                      <w:sz w:val="21"/>
                      <w:szCs w:val="21"/>
                    </w:rPr>
                    <w:t>（铅镉污染控制区）</w:t>
                  </w:r>
                </w:p>
              </w:tc>
              <w:tc>
                <w:tcPr>
                  <w:tcW w:w="1230" w:type="pct"/>
                  <w:vMerge w:val="continue"/>
                  <w:vAlign w:val="center"/>
                </w:tcPr>
                <w:p>
                  <w:pPr>
                    <w:spacing w:line="288" w:lineRule="auto"/>
                    <w:jc w:val="center"/>
                    <w:rPr>
                      <w:rFonts w:ascii="宋体" w:hAnsi="宋体" w:cs="宋体"/>
                      <w:sz w:val="21"/>
                      <w:szCs w:val="21"/>
                    </w:rPr>
                  </w:pPr>
                </w:p>
              </w:tc>
              <w:tc>
                <w:tcPr>
                  <w:tcW w:w="730" w:type="pct"/>
                  <w:vAlign w:val="center"/>
                </w:tcPr>
                <w:p>
                  <w:pPr>
                    <w:spacing w:line="288" w:lineRule="auto"/>
                    <w:jc w:val="center"/>
                    <w:rPr>
                      <w:rFonts w:ascii="宋体" w:hAnsi="宋体" w:cs="宋体"/>
                      <w:sz w:val="21"/>
                      <w:szCs w:val="21"/>
                    </w:rPr>
                  </w:pPr>
                  <w:r>
                    <w:rPr>
                      <w:rFonts w:hint="eastAsia" w:ascii="宋体" w:hAnsi="宋体" w:cs="宋体"/>
                      <w:sz w:val="21"/>
                      <w:szCs w:val="21"/>
                    </w:rPr>
                    <w:t>不属于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40" w:type="pct"/>
                  <w:vAlign w:val="center"/>
                </w:tcPr>
                <w:p>
                  <w:pPr>
                    <w:spacing w:line="288" w:lineRule="auto"/>
                    <w:jc w:val="center"/>
                    <w:rPr>
                      <w:rFonts w:ascii="宋体" w:hAnsi="宋体" w:cs="宋体"/>
                      <w:sz w:val="21"/>
                      <w:szCs w:val="21"/>
                    </w:rPr>
                  </w:pPr>
                  <w:r>
                    <w:rPr>
                      <w:rFonts w:hint="eastAsia" w:ascii="宋体" w:hAnsi="宋体" w:cs="宋体"/>
                      <w:sz w:val="21"/>
                      <w:szCs w:val="21"/>
                    </w:rPr>
                    <w:t>工业项目</w:t>
                  </w:r>
                </w:p>
                <w:p>
                  <w:pPr>
                    <w:spacing w:line="288" w:lineRule="auto"/>
                    <w:jc w:val="center"/>
                    <w:rPr>
                      <w:rFonts w:ascii="宋体" w:hAnsi="宋体" w:cs="宋体"/>
                      <w:sz w:val="21"/>
                      <w:szCs w:val="21"/>
                    </w:rPr>
                  </w:pPr>
                  <w:r>
                    <w:rPr>
                      <w:rFonts w:hint="eastAsia" w:ascii="宋体" w:hAnsi="宋体" w:cs="宋体"/>
                      <w:sz w:val="21"/>
                      <w:szCs w:val="21"/>
                    </w:rPr>
                    <w:t>分类</w:t>
                  </w:r>
                </w:p>
              </w:tc>
              <w:tc>
                <w:tcPr>
                  <w:tcW w:w="2298" w:type="pct"/>
                  <w:gridSpan w:val="2"/>
                  <w:vAlign w:val="center"/>
                </w:tcPr>
                <w:p>
                  <w:pPr>
                    <w:spacing w:line="288" w:lineRule="auto"/>
                    <w:jc w:val="left"/>
                    <w:rPr>
                      <w:rFonts w:ascii="宋体" w:hAnsi="宋体" w:cs="宋体"/>
                      <w:sz w:val="21"/>
                      <w:szCs w:val="21"/>
                    </w:rPr>
                  </w:pPr>
                  <w:r>
                    <w:rPr>
                      <w:rFonts w:hint="eastAsia" w:ascii="宋体" w:hAnsi="宋体" w:cs="宋体"/>
                      <w:sz w:val="21"/>
                      <w:szCs w:val="21"/>
                    </w:rPr>
                    <w:t>一类工业项目：</w:t>
                  </w:r>
                </w:p>
                <w:p>
                  <w:pPr>
                    <w:spacing w:line="288" w:lineRule="auto"/>
                    <w:jc w:val="left"/>
                    <w:rPr>
                      <w:rFonts w:ascii="宋体" w:hAnsi="宋体" w:cs="宋体"/>
                      <w:sz w:val="21"/>
                      <w:szCs w:val="21"/>
                    </w:rPr>
                  </w:pPr>
                  <w:r>
                    <w:rPr>
                      <w:rFonts w:hint="eastAsia" w:ascii="宋体" w:hAnsi="宋体" w:cs="宋体"/>
                      <w:sz w:val="21"/>
                      <w:szCs w:val="21"/>
                    </w:rPr>
                    <w:t>机械电子（不含电镀、喷涂工艺的机械制造；不含分割、焊接、有机溶剂清洗工艺的电子元件、集成电路等生产）</w:t>
                  </w:r>
                </w:p>
              </w:tc>
              <w:tc>
                <w:tcPr>
                  <w:tcW w:w="1230" w:type="pct"/>
                  <w:vAlign w:val="center"/>
                </w:tcPr>
                <w:p>
                  <w:pPr>
                    <w:spacing w:line="288" w:lineRule="auto"/>
                    <w:jc w:val="center"/>
                    <w:rPr>
                      <w:rFonts w:ascii="宋体" w:hAnsi="宋体" w:cs="宋体"/>
                      <w:sz w:val="21"/>
                      <w:szCs w:val="21"/>
                    </w:rPr>
                  </w:pPr>
                  <w:r>
                    <w:rPr>
                      <w:rFonts w:hint="eastAsia" w:ascii="宋体" w:hAnsi="宋体" w:cs="宋体"/>
                      <w:sz w:val="21"/>
                      <w:szCs w:val="21"/>
                    </w:rPr>
                    <w:t>项目属于机械制造业，不含电镀、喷涂工艺，属于一类工业项目。</w:t>
                  </w:r>
                </w:p>
              </w:tc>
              <w:tc>
                <w:tcPr>
                  <w:tcW w:w="730" w:type="pct"/>
                  <w:vAlign w:val="center"/>
                </w:tcPr>
                <w:p>
                  <w:pPr>
                    <w:pStyle w:val="16"/>
                    <w:spacing w:line="288" w:lineRule="auto"/>
                    <w:jc w:val="center"/>
                    <w:rPr>
                      <w:rFonts w:hint="default" w:ascii="宋体" w:hAnsi="宋体" w:eastAsia="宋体" w:cs="宋体"/>
                      <w:b w:val="0"/>
                      <w:szCs w:val="21"/>
                      <w:lang w:eastAsia="zh-CN"/>
                    </w:rPr>
                  </w:pPr>
                  <w:r>
                    <w:rPr>
                      <w:rFonts w:ascii="宋体" w:hAnsi="宋体" w:eastAsia="宋体" w:cs="宋体"/>
                      <w:b w:val="0"/>
                      <w:szCs w:val="21"/>
                      <w:lang w:eastAsia="zh-CN"/>
                    </w:rPr>
                    <w:t>属于一类工业项目</w:t>
                  </w:r>
                </w:p>
              </w:tc>
            </w:tr>
          </w:tbl>
          <w:p>
            <w:pPr>
              <w:adjustRightInd w:val="0"/>
              <w:snapToGrid w:val="0"/>
              <w:spacing w:line="360" w:lineRule="auto"/>
              <w:ind w:firstLine="480" w:firstLineChars="200"/>
              <w:textAlignment w:val="baseline"/>
              <w:rPr>
                <w:rFonts w:ascii="Times New Roman" w:hAnsi="Times New Roman" w:cs="Times New Roman"/>
                <w:sz w:val="24"/>
                <w:szCs w:val="24"/>
              </w:rPr>
            </w:pPr>
            <w:r>
              <w:rPr>
                <w:rFonts w:ascii="Times New Roman" w:hAnsi="Times New Roman" w:cs="Times New Roman"/>
                <w:sz w:val="24"/>
                <w:szCs w:val="24"/>
              </w:rPr>
              <w:t>由表</w:t>
            </w:r>
            <w:r>
              <w:rPr>
                <w:rFonts w:hint="eastAsia" w:ascii="Times New Roman" w:hAnsi="Times New Roman" w:cs="Times New Roman"/>
                <w:sz w:val="24"/>
                <w:szCs w:val="24"/>
              </w:rPr>
              <w:t>10</w:t>
            </w:r>
            <w:r>
              <w:rPr>
                <w:rFonts w:ascii="Times New Roman" w:hAnsi="Times New Roman" w:cs="Times New Roman"/>
                <w:sz w:val="24"/>
                <w:szCs w:val="24"/>
              </w:rPr>
              <w:t>可知，本项目厂址位于</w:t>
            </w:r>
            <w:r>
              <w:rPr>
                <w:rFonts w:hint="eastAsia" w:ascii="Times New Roman" w:hAnsi="Times New Roman" w:cs="Times New Roman"/>
                <w:sz w:val="24"/>
                <w:szCs w:val="24"/>
              </w:rPr>
              <w:t>工业准入优先区</w:t>
            </w:r>
            <w:r>
              <w:rPr>
                <w:rFonts w:ascii="Times New Roman" w:hAnsi="Times New Roman" w:cs="Times New Roman"/>
                <w:sz w:val="24"/>
                <w:szCs w:val="24"/>
              </w:rPr>
              <w:t>，与</w:t>
            </w:r>
            <w:r>
              <w:rPr>
                <w:rFonts w:hint="eastAsia" w:ascii="Times New Roman" w:hAnsi="Times New Roman" w:cs="Times New Roman"/>
                <w:sz w:val="24"/>
                <w:szCs w:val="24"/>
              </w:rPr>
              <w:t>工业优先准入区</w:t>
            </w:r>
            <w:r>
              <w:rPr>
                <w:rFonts w:ascii="Times New Roman" w:hAnsi="Times New Roman" w:cs="Times New Roman"/>
                <w:sz w:val="24"/>
                <w:szCs w:val="24"/>
              </w:rPr>
              <w:t>环境准入政策要求相符性分析见表</w:t>
            </w:r>
            <w:r>
              <w:rPr>
                <w:rFonts w:hint="eastAsia" w:ascii="Times New Roman" w:hAnsi="Times New Roman" w:cs="Times New Roman"/>
                <w:sz w:val="24"/>
                <w:szCs w:val="24"/>
              </w:rPr>
              <w:t>11。</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11</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与</w:t>
            </w:r>
            <w:r>
              <w:rPr>
                <w:rFonts w:hint="eastAsia" w:ascii="Times New Roman" w:hAnsi="Times New Roman" w:cs="Times New Roman"/>
                <w:b/>
                <w:bCs/>
                <w:sz w:val="22"/>
                <w:szCs w:val="22"/>
              </w:rPr>
              <w:t>工业准入优先</w:t>
            </w:r>
            <w:r>
              <w:rPr>
                <w:rFonts w:ascii="Times New Roman" w:hAnsi="Times New Roman" w:cs="Times New Roman"/>
                <w:b/>
                <w:bCs/>
                <w:sz w:val="22"/>
                <w:szCs w:val="22"/>
              </w:rPr>
              <w:t>区环境准入政策要求相符性分析</w:t>
            </w:r>
          </w:p>
          <w:tbl>
            <w:tblPr>
              <w:tblStyle w:val="28"/>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835"/>
              <w:gridCol w:w="4277"/>
              <w:gridCol w:w="2237"/>
              <w:gridCol w:w="1189"/>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85" w:hRule="atLeast"/>
              </w:trPr>
              <w:tc>
                <w:tcPr>
                  <w:tcW w:w="489" w:type="pct"/>
                  <w:vAlign w:val="center"/>
                </w:tcPr>
                <w:p>
                  <w:pPr>
                    <w:spacing w:line="264" w:lineRule="auto"/>
                    <w:jc w:val="center"/>
                    <w:rPr>
                      <w:b/>
                      <w:bCs/>
                      <w:sz w:val="21"/>
                      <w:szCs w:val="21"/>
                    </w:rPr>
                  </w:pPr>
                  <w:r>
                    <w:rPr>
                      <w:rFonts w:hint="eastAsia"/>
                      <w:b/>
                      <w:bCs/>
                      <w:sz w:val="21"/>
                      <w:szCs w:val="21"/>
                    </w:rPr>
                    <w:t>类别</w:t>
                  </w:r>
                </w:p>
              </w:tc>
              <w:tc>
                <w:tcPr>
                  <w:tcW w:w="2504" w:type="pct"/>
                  <w:vAlign w:val="center"/>
                </w:tcPr>
                <w:p>
                  <w:pPr>
                    <w:spacing w:line="264" w:lineRule="auto"/>
                    <w:jc w:val="center"/>
                    <w:rPr>
                      <w:rFonts w:ascii="宋体" w:hAnsi="宋体" w:cs="宋体"/>
                      <w:sz w:val="21"/>
                      <w:szCs w:val="21"/>
                      <w:lang w:bidi="zh-CN"/>
                    </w:rPr>
                  </w:pPr>
                  <w:r>
                    <w:rPr>
                      <w:rFonts w:hint="eastAsia" w:ascii="宋体" w:hAnsi="宋体" w:cs="宋体"/>
                      <w:b/>
                      <w:bCs/>
                      <w:sz w:val="21"/>
                      <w:szCs w:val="21"/>
                      <w:lang w:bidi="zh-CN"/>
                    </w:rPr>
                    <w:t>内容</w:t>
                  </w:r>
                </w:p>
              </w:tc>
              <w:tc>
                <w:tcPr>
                  <w:tcW w:w="1310" w:type="pct"/>
                  <w:vAlign w:val="center"/>
                </w:tcPr>
                <w:p>
                  <w:pPr>
                    <w:spacing w:line="264" w:lineRule="auto"/>
                    <w:jc w:val="center"/>
                    <w:rPr>
                      <w:b/>
                      <w:bCs/>
                      <w:sz w:val="21"/>
                      <w:szCs w:val="21"/>
                    </w:rPr>
                  </w:pPr>
                  <w:r>
                    <w:rPr>
                      <w:rFonts w:hint="eastAsia"/>
                      <w:b/>
                      <w:bCs/>
                      <w:sz w:val="21"/>
                      <w:szCs w:val="21"/>
                    </w:rPr>
                    <w:t>本项目情况</w:t>
                  </w:r>
                </w:p>
              </w:tc>
              <w:tc>
                <w:tcPr>
                  <w:tcW w:w="696" w:type="pct"/>
                  <w:vAlign w:val="center"/>
                </w:tcPr>
                <w:p>
                  <w:pPr>
                    <w:spacing w:line="264" w:lineRule="auto"/>
                    <w:jc w:val="center"/>
                    <w:rPr>
                      <w:b/>
                      <w:bCs/>
                      <w:sz w:val="21"/>
                      <w:szCs w:val="21"/>
                    </w:rPr>
                  </w:pPr>
                  <w:r>
                    <w:rPr>
                      <w:rFonts w:hint="eastAsia"/>
                      <w:b/>
                      <w:bCs/>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489" w:type="pct"/>
                  <w:vMerge w:val="restart"/>
                  <w:vAlign w:val="center"/>
                </w:tcPr>
                <w:p>
                  <w:pPr>
                    <w:spacing w:line="264" w:lineRule="auto"/>
                    <w:jc w:val="center"/>
                    <w:rPr>
                      <w:sz w:val="21"/>
                      <w:szCs w:val="21"/>
                    </w:rPr>
                  </w:pPr>
                  <w:r>
                    <w:rPr>
                      <w:rFonts w:hint="eastAsia"/>
                      <w:sz w:val="21"/>
                      <w:szCs w:val="21"/>
                    </w:rPr>
                    <w:t>工业准入区</w:t>
                  </w:r>
                </w:p>
              </w:tc>
              <w:tc>
                <w:tcPr>
                  <w:tcW w:w="2504" w:type="pct"/>
                  <w:vAlign w:val="center"/>
                </w:tcPr>
                <w:p>
                  <w:pPr>
                    <w:spacing w:line="264" w:lineRule="auto"/>
                    <w:rPr>
                      <w:rFonts w:ascii="宋体" w:hAnsi="宋体" w:cs="宋体"/>
                      <w:sz w:val="21"/>
                      <w:szCs w:val="21"/>
                      <w:lang w:bidi="zh-CN"/>
                    </w:rPr>
                  </w:pPr>
                  <w:r>
                    <w:rPr>
                      <w:rFonts w:hint="eastAsia" w:ascii="宋体" w:hAnsi="宋体" w:cs="宋体"/>
                      <w:b/>
                      <w:bCs/>
                      <w:sz w:val="21"/>
                      <w:szCs w:val="21"/>
                      <w:lang w:bidi="zh-CN"/>
                    </w:rPr>
                    <w:t>功能区范围</w:t>
                  </w:r>
                  <w:r>
                    <w:rPr>
                      <w:rFonts w:hint="eastAsia" w:ascii="宋体" w:hAnsi="宋体" w:cs="宋体"/>
                      <w:sz w:val="21"/>
                      <w:szCs w:val="21"/>
                      <w:lang w:bidi="zh-CN"/>
                    </w:rPr>
                    <w:t>：我市范围内的省级产业集聚区、市级人民政府规范设立的专业园区</w:t>
                  </w:r>
                </w:p>
              </w:tc>
              <w:tc>
                <w:tcPr>
                  <w:tcW w:w="1310" w:type="pct"/>
                  <w:vAlign w:val="center"/>
                </w:tcPr>
                <w:p>
                  <w:pPr>
                    <w:spacing w:line="264" w:lineRule="auto"/>
                    <w:jc w:val="center"/>
                    <w:rPr>
                      <w:sz w:val="21"/>
                      <w:szCs w:val="21"/>
                    </w:rPr>
                  </w:pPr>
                  <w:r>
                    <w:rPr>
                      <w:sz w:val="21"/>
                      <w:szCs w:val="21"/>
                    </w:rPr>
                    <w:t>本项目位于新乡</w:t>
                  </w:r>
                  <w:r>
                    <w:rPr>
                      <w:rFonts w:hint="eastAsia"/>
                      <w:sz w:val="21"/>
                      <w:szCs w:val="21"/>
                    </w:rPr>
                    <w:t>经济技术开发区，</w:t>
                  </w:r>
                  <w:r>
                    <w:rPr>
                      <w:rFonts w:hint="eastAsia" w:ascii="Times New Roman" w:hAnsi="Times New Roman" w:cs="Times New Roman"/>
                      <w:sz w:val="21"/>
                      <w:szCs w:val="21"/>
                    </w:rPr>
                    <w:t>属于新乡工业产业集聚区</w:t>
                  </w:r>
                </w:p>
              </w:tc>
              <w:tc>
                <w:tcPr>
                  <w:tcW w:w="696" w:type="pct"/>
                  <w:vAlign w:val="center"/>
                </w:tcPr>
                <w:p>
                  <w:pPr>
                    <w:spacing w:line="264" w:lineRule="auto"/>
                    <w:jc w:val="center"/>
                    <w:rPr>
                      <w:sz w:val="21"/>
                      <w:szCs w:val="21"/>
                    </w:rPr>
                  </w:pPr>
                  <w:r>
                    <w:rPr>
                      <w:rFonts w:hint="eastAsia"/>
                      <w:sz w:val="21"/>
                      <w:szCs w:val="21"/>
                    </w:rPr>
                    <w:t>属于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c>
                <w:tcPr>
                  <w:tcW w:w="489" w:type="pct"/>
                  <w:vMerge w:val="continue"/>
                </w:tcPr>
                <w:p>
                  <w:pPr>
                    <w:spacing w:line="264" w:lineRule="auto"/>
                    <w:rPr>
                      <w:color w:val="FF0000"/>
                      <w:sz w:val="21"/>
                      <w:szCs w:val="21"/>
                    </w:rPr>
                  </w:pPr>
                </w:p>
              </w:tc>
              <w:tc>
                <w:tcPr>
                  <w:tcW w:w="2504" w:type="pct"/>
                </w:tcPr>
                <w:p>
                  <w:pPr>
                    <w:pStyle w:val="98"/>
                    <w:spacing w:line="264" w:lineRule="auto"/>
                    <w:ind w:left="117"/>
                    <w:rPr>
                      <w:rFonts w:ascii="Times New Roman" w:hAnsi="Times New Roman" w:cs="Times New Roman"/>
                      <w:sz w:val="21"/>
                      <w:szCs w:val="21"/>
                    </w:rPr>
                  </w:pPr>
                  <w:r>
                    <w:rPr>
                      <w:rFonts w:ascii="Times New Roman" w:hAnsi="Times New Roman" w:cs="Times New Roman"/>
                      <w:b/>
                      <w:bCs/>
                      <w:sz w:val="21"/>
                      <w:szCs w:val="21"/>
                    </w:rPr>
                    <w:t>环境准入政策：</w:t>
                  </w:r>
                </w:p>
                <w:p>
                  <w:pPr>
                    <w:pStyle w:val="98"/>
                    <w:spacing w:line="264" w:lineRule="auto"/>
                    <w:ind w:left="56" w:leftChars="20"/>
                    <w:rPr>
                      <w:rFonts w:ascii="Times New Roman" w:hAnsi="Times New Roman" w:cs="Times New Roman"/>
                      <w:sz w:val="21"/>
                      <w:szCs w:val="21"/>
                    </w:rPr>
                  </w:pPr>
                  <w:r>
                    <w:rPr>
                      <w:rFonts w:ascii="Times New Roman" w:hAnsi="Times New Roman" w:cs="Times New Roman"/>
                      <w:sz w:val="21"/>
                      <w:szCs w:val="21"/>
                    </w:rPr>
                    <w:t>1、简化部分审批程序。依据生态环境部《建设项目环境影响评价分类管理名录》规定，对填报环境影响登记表的项目，环评文件由审批制改为备案制，即报即受理，2个工作日内办结；对编制环境影响报告表的项目，简化审批程序，即报即受理。</w:t>
                  </w:r>
                </w:p>
                <w:p>
                  <w:pPr>
                    <w:pStyle w:val="98"/>
                    <w:spacing w:line="264" w:lineRule="auto"/>
                    <w:rPr>
                      <w:rFonts w:ascii="Times New Roman" w:hAnsi="Times New Roman" w:cs="Times New Roman"/>
                      <w:sz w:val="21"/>
                      <w:szCs w:val="21"/>
                    </w:rPr>
                  </w:pPr>
                  <w:r>
                    <w:rPr>
                      <w:rFonts w:ascii="Times New Roman" w:hAnsi="Times New Roman" w:cs="Times New Roman"/>
                      <w:sz w:val="21"/>
                      <w:szCs w:val="21"/>
                    </w:rPr>
                    <w:t>2、下放部分审批权限，对属于市环保局审批的《工业项目分类清单》中一类工业项目，其环评文件的审批权限下放至具有审批权的各县（市）、区环保部门。</w:t>
                  </w:r>
                </w:p>
                <w:p>
                  <w:pPr>
                    <w:pStyle w:val="98"/>
                    <w:spacing w:line="264" w:lineRule="auto"/>
                    <w:rPr>
                      <w:rFonts w:ascii="Times New Roman" w:hAnsi="Times New Roman" w:cs="Times New Roman"/>
                      <w:sz w:val="21"/>
                      <w:szCs w:val="21"/>
                    </w:rPr>
                  </w:pPr>
                  <w:r>
                    <w:rPr>
                      <w:rFonts w:ascii="Times New Roman" w:hAnsi="Times New Roman" w:cs="Times New Roman"/>
                      <w:sz w:val="21"/>
                      <w:szCs w:val="21"/>
                    </w:rPr>
                    <w:t>3、放宽部分审批条件。对规划环评已经过审查的产业集聚区或专业园区，符合主导产业的入驻建设项目的环评可适当简化；对污水集中处理设施完善的产业集聚区或专业园区，入驻建设项目的污水排放标准可执行间接排放标准，无间接排放标准的以环评审批的排放要求为准。</w:t>
                  </w:r>
                </w:p>
                <w:p>
                  <w:pPr>
                    <w:pStyle w:val="98"/>
                    <w:spacing w:line="264" w:lineRule="auto"/>
                    <w:rPr>
                      <w:rFonts w:ascii="Times New Roman" w:hAnsi="Times New Roman" w:cs="Times New Roman"/>
                      <w:sz w:val="21"/>
                      <w:szCs w:val="21"/>
                    </w:rPr>
                  </w:pPr>
                  <w:r>
                    <w:rPr>
                      <w:rFonts w:ascii="Times New Roman" w:hAnsi="Times New Roman" w:cs="Times New Roman"/>
                      <w:sz w:val="21"/>
                      <w:szCs w:val="21"/>
                    </w:rPr>
                    <w:t>4、严控部分区域重污染项目。在《水污染防治重点单元》内的我市市区、新乡县、卫辉市、辉县市、获嘉县等区域内，不予审批煤化工、化学合成药以及生物发酵制药、制浆造纸、制革及毛皮鞣制、印染等行业单纯新建和单纯扩大产能的项目；在《大气污染重点防治单元》内的我市全部区域，严格燃煤火电项目审批，不予审批煤化工、冶金、钢铁、铁合金等行业单纯新建和单纯扩大产能的项目；在《重点金属污染防控单元》内的新乡县、凤泉区铅镉污染防控区域内，涉及铅、铬、镉、汞、砷等重金属污染物排放的相关项目，以</w:t>
                  </w:r>
                  <w:r>
                    <w:rPr>
                      <w:rFonts w:hint="eastAsia" w:ascii="Times New Roman" w:hAnsi="Times New Roman" w:cs="Times New Roman"/>
                      <w:sz w:val="21"/>
                      <w:szCs w:val="21"/>
                    </w:rPr>
                    <w:t>“</w:t>
                  </w:r>
                  <w:r>
                    <w:rPr>
                      <w:rFonts w:ascii="Times New Roman" w:hAnsi="Times New Roman" w:cs="Times New Roman"/>
                      <w:sz w:val="21"/>
                      <w:szCs w:val="21"/>
                    </w:rPr>
                    <w:t>减量替代</w:t>
                  </w:r>
                  <w:r>
                    <w:rPr>
                      <w:rFonts w:hint="eastAsia" w:ascii="Times New Roman" w:hAnsi="Times New Roman" w:cs="Times New Roman"/>
                      <w:sz w:val="21"/>
                      <w:szCs w:val="21"/>
                    </w:rPr>
                    <w:t>”</w:t>
                  </w:r>
                  <w:r>
                    <w:rPr>
                      <w:rFonts w:ascii="Times New Roman" w:hAnsi="Times New Roman" w:cs="Times New Roman"/>
                      <w:sz w:val="21"/>
                      <w:szCs w:val="21"/>
                    </w:rPr>
                    <w:t>为原则，不予审批新增重金属污染物排放想相应项目，（符合省、市重大产业布局的项目除外）</w:t>
                  </w:r>
                </w:p>
              </w:tc>
              <w:tc>
                <w:tcPr>
                  <w:tcW w:w="1310" w:type="pct"/>
                </w:tcPr>
                <w:p>
                  <w:pPr>
                    <w:pStyle w:val="98"/>
                    <w:spacing w:line="264" w:lineRule="auto"/>
                    <w:rPr>
                      <w:rFonts w:ascii="Times New Roman" w:hAnsi="Times New Roman" w:cs="Times New Roman"/>
                      <w:sz w:val="21"/>
                      <w:szCs w:val="21"/>
                    </w:rPr>
                  </w:pPr>
                  <w:r>
                    <w:rPr>
                      <w:rFonts w:ascii="Times New Roman" w:hAnsi="Times New Roman" w:cs="Times New Roman"/>
                      <w:sz w:val="21"/>
                      <w:szCs w:val="21"/>
                    </w:rPr>
                    <w:t>1、本项目应编制环境影响报告表</w:t>
                  </w:r>
                  <w:r>
                    <w:rPr>
                      <w:rFonts w:hint="eastAsia" w:ascii="Times New Roman" w:hAnsi="Times New Roman" w:cs="Times New Roman"/>
                      <w:sz w:val="21"/>
                      <w:szCs w:val="21"/>
                    </w:rPr>
                    <w:t>；</w:t>
                  </w:r>
                </w:p>
                <w:p>
                  <w:pPr>
                    <w:pStyle w:val="98"/>
                    <w:spacing w:line="264" w:lineRule="auto"/>
                    <w:rPr>
                      <w:rFonts w:ascii="Times New Roman" w:hAnsi="Times New Roman" w:cs="Times New Roman"/>
                      <w:sz w:val="21"/>
                      <w:szCs w:val="21"/>
                    </w:rPr>
                  </w:pPr>
                  <w:r>
                    <w:rPr>
                      <w:rFonts w:ascii="Times New Roman" w:hAnsi="Times New Roman" w:cs="Times New Roman"/>
                      <w:sz w:val="21"/>
                      <w:szCs w:val="21"/>
                    </w:rPr>
                    <w:t>2、本项目为</w:t>
                  </w:r>
                  <w:r>
                    <w:rPr>
                      <w:rFonts w:hint="eastAsia" w:ascii="Times New Roman" w:hAnsi="Times New Roman" w:cs="Times New Roman"/>
                      <w:sz w:val="21"/>
                      <w:szCs w:val="21"/>
                    </w:rPr>
                    <w:t>环保</w:t>
                  </w:r>
                  <w:r>
                    <w:rPr>
                      <w:rFonts w:ascii="Times New Roman" w:hAnsi="Times New Roman" w:cs="Times New Roman"/>
                      <w:sz w:val="21"/>
                      <w:szCs w:val="21"/>
                    </w:rPr>
                    <w:t>设备</w:t>
                  </w:r>
                  <w:r>
                    <w:rPr>
                      <w:rFonts w:hint="eastAsia" w:ascii="Times New Roman" w:hAnsi="Times New Roman" w:cs="Times New Roman"/>
                      <w:sz w:val="21"/>
                      <w:szCs w:val="21"/>
                    </w:rPr>
                    <w:t>关键部件</w:t>
                  </w:r>
                  <w:r>
                    <w:rPr>
                      <w:rFonts w:ascii="Times New Roman" w:hAnsi="Times New Roman" w:cs="Times New Roman"/>
                      <w:sz w:val="21"/>
                      <w:szCs w:val="21"/>
                    </w:rPr>
                    <w:t>制造</w:t>
                  </w:r>
                  <w:r>
                    <w:rPr>
                      <w:rFonts w:hint="eastAsia" w:ascii="Times New Roman" w:hAnsi="Times New Roman" w:cs="Times New Roman"/>
                      <w:sz w:val="21"/>
                      <w:szCs w:val="21"/>
                    </w:rPr>
                    <w:t>，属于机械制造业，不含电镀、喷涂工艺；</w:t>
                  </w:r>
                </w:p>
                <w:p>
                  <w:pPr>
                    <w:pStyle w:val="98"/>
                    <w:spacing w:line="264" w:lineRule="auto"/>
                    <w:rPr>
                      <w:rFonts w:ascii="Times New Roman" w:hAnsi="Times New Roman" w:cs="Times New Roman"/>
                      <w:sz w:val="21"/>
                      <w:szCs w:val="21"/>
                    </w:rPr>
                  </w:pPr>
                  <w:r>
                    <w:rPr>
                      <w:rFonts w:ascii="Times New Roman" w:hAnsi="Times New Roman" w:cs="Times New Roman"/>
                      <w:sz w:val="21"/>
                      <w:szCs w:val="21"/>
                    </w:rPr>
                    <w:t>3、本项目所在集聚区规划环评已通过审查。本项目生活污水经管网排入</w:t>
                  </w:r>
                  <w:r>
                    <w:rPr>
                      <w:rFonts w:hint="eastAsia" w:ascii="Times New Roman" w:hAnsi="Times New Roman" w:cs="Times New Roman"/>
                      <w:sz w:val="21"/>
                      <w:szCs w:val="21"/>
                    </w:rPr>
                    <w:t>小店</w:t>
                  </w:r>
                  <w:r>
                    <w:rPr>
                      <w:rFonts w:ascii="Times New Roman" w:hAnsi="Times New Roman" w:cs="Times New Roman"/>
                      <w:sz w:val="21"/>
                      <w:szCs w:val="21"/>
                    </w:rPr>
                    <w:t>污水处理厂</w:t>
                  </w:r>
                  <w:r>
                    <w:rPr>
                      <w:rFonts w:hint="eastAsia" w:ascii="Times New Roman" w:hAnsi="Times New Roman" w:cs="Times New Roman"/>
                      <w:sz w:val="21"/>
                      <w:szCs w:val="21"/>
                    </w:rPr>
                    <w:t>二期；</w:t>
                  </w:r>
                </w:p>
                <w:p>
                  <w:pPr>
                    <w:pStyle w:val="98"/>
                    <w:spacing w:line="264" w:lineRule="auto"/>
                    <w:rPr>
                      <w:rFonts w:ascii="Times New Roman" w:hAnsi="Times New Roman" w:cs="Times New Roman"/>
                      <w:sz w:val="21"/>
                      <w:szCs w:val="21"/>
                    </w:rPr>
                  </w:pPr>
                  <w:r>
                    <w:rPr>
                      <w:rFonts w:ascii="Times New Roman" w:hAnsi="Times New Roman" w:cs="Times New Roman"/>
                      <w:sz w:val="21"/>
                      <w:szCs w:val="21"/>
                    </w:rPr>
                    <w:t>4、本项目不属于《水污染防治重点单元》区域内的：煤化工、化学合成药以及生物发酵制药、制浆造纸、制革及毛皮鞣制、印染等行业单纯新建和单纯扩大产能的项目；不属于《大气污染防治重点单元》区域内：燃煤火</w:t>
                  </w:r>
                </w:p>
                <w:p>
                  <w:pPr>
                    <w:pStyle w:val="98"/>
                    <w:spacing w:line="264" w:lineRule="auto"/>
                    <w:rPr>
                      <w:rFonts w:ascii="Times New Roman" w:hAnsi="Times New Roman" w:cs="Times New Roman"/>
                      <w:sz w:val="21"/>
                      <w:szCs w:val="21"/>
                    </w:rPr>
                  </w:pPr>
                  <w:r>
                    <w:rPr>
                      <w:rFonts w:ascii="Times New Roman" w:hAnsi="Times New Roman" w:cs="Times New Roman"/>
                      <w:sz w:val="21"/>
                      <w:szCs w:val="21"/>
                    </w:rPr>
                    <w:t>电项目，煤化工、冶金、钢铁、铁合金等行业单纯新建和单纯扩大产能的项目；不属于《重点金属污染防控单元》内的新乡县、凤泉区铅镉污染防控区域内。</w:t>
                  </w:r>
                </w:p>
              </w:tc>
              <w:tc>
                <w:tcPr>
                  <w:tcW w:w="696" w:type="pct"/>
                  <w:vAlign w:val="center"/>
                </w:tcPr>
                <w:p>
                  <w:pPr>
                    <w:spacing w:line="264" w:lineRule="auto"/>
                    <w:jc w:val="center"/>
                    <w:rPr>
                      <w:color w:val="FF0000"/>
                      <w:sz w:val="21"/>
                      <w:szCs w:val="21"/>
                    </w:rPr>
                  </w:pPr>
                  <w:r>
                    <w:rPr>
                      <w:rFonts w:hint="eastAsia"/>
                      <w:sz w:val="21"/>
                      <w:szCs w:val="21"/>
                    </w:rPr>
                    <w:t>符合</w:t>
                  </w: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6.7 与《新乡市2019年大气污染防治攻坚战实施方案》相符性分析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与《新乡市2019年大气污染防治攻坚战实施方案》相符性分析对照</w:t>
            </w:r>
            <w:r>
              <w:rPr>
                <w:rFonts w:ascii="Times New Roman" w:hAnsi="Times New Roman" w:cs="Times New Roman"/>
                <w:sz w:val="24"/>
                <w:szCs w:val="24"/>
              </w:rPr>
              <w:t>见表</w:t>
            </w:r>
            <w:r>
              <w:rPr>
                <w:rFonts w:hint="eastAsia" w:ascii="Times New Roman" w:hAnsi="Times New Roman" w:cs="Times New Roman"/>
                <w:sz w:val="24"/>
                <w:szCs w:val="24"/>
              </w:rPr>
              <w:t>12</w:t>
            </w:r>
            <w:r>
              <w:rPr>
                <w:rFonts w:ascii="Times New Roman" w:hAnsi="Times New Roman" w:cs="Times New Roman"/>
                <w:sz w:val="24"/>
                <w:szCs w:val="24"/>
              </w:rPr>
              <w:t>。</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12</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本项目与《方案》相符性分析</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5000"/>
              <w:gridCol w:w="1486"/>
              <w:gridCol w:w="11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2" w:type="pct"/>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2927" w:type="pct"/>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《新乡市2019年大气污染防治攻坚战实施方案》中有关要求</w:t>
                  </w:r>
                </w:p>
              </w:tc>
              <w:tc>
                <w:tcPr>
                  <w:tcW w:w="870" w:type="pct"/>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企业建设情况</w:t>
                  </w:r>
                </w:p>
              </w:tc>
              <w:tc>
                <w:tcPr>
                  <w:tcW w:w="648" w:type="pct"/>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对比结论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52"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（六）打好扬尘治理提效战役</w:t>
                  </w:r>
                </w:p>
              </w:tc>
              <w:tc>
                <w:tcPr>
                  <w:tcW w:w="2927"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b/>
                      <w:sz w:val="21"/>
                      <w:szCs w:val="21"/>
                    </w:rPr>
                    <w:t>24.强化工地扬尘污染防治</w:t>
                  </w:r>
                  <w:r>
                    <w:rPr>
                      <w:rFonts w:ascii="Times New Roman" w:hAnsi="Times New Roman" w:cs="Times New Roman"/>
                      <w:sz w:val="21"/>
                      <w:szCs w:val="21"/>
                    </w:rPr>
                    <w:t>。严格落实施工工地“六个百分之百” （施工现场百分之百围挡，物料堆放百分之百覆盖，裸露地面百分之百绿化或覆盖，进出车辆百分之百冲洗，拆除和土方作业百分之百喷淋，渣土运输车辆百分之百封闭）、开复工验收、“三员”（扬尘污染防治监督员、网格员、管理员）管理、扬尘防治预算管理等制度，建成“两个禁止”（禁止现场搅拌混凝土、禁止现场配置砂浆）信息化监管平台。各类长距离的市政、公路、水利等线性工程，全面实行分段施工。</w:t>
                  </w:r>
                </w:p>
              </w:tc>
              <w:tc>
                <w:tcPr>
                  <w:tcW w:w="870"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本项目利用现有厂房进行生产，施工期仅为涉及设备安装，无土建工程</w:t>
                  </w:r>
                </w:p>
              </w:tc>
              <w:tc>
                <w:tcPr>
                  <w:tcW w:w="648"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52"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（七）打好工业绿色升级战役</w:t>
                  </w:r>
                </w:p>
              </w:tc>
              <w:tc>
                <w:tcPr>
                  <w:tcW w:w="2927"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bCs/>
                      <w:sz w:val="21"/>
                      <w:szCs w:val="21"/>
                    </w:rPr>
                    <w:t>1.开展工业企业无组织排放治理。强</w:t>
                  </w:r>
                  <w:r>
                    <w:rPr>
                      <w:rFonts w:ascii="Times New Roman" w:hAnsi="Times New Roman" w:cs="Times New Roman"/>
                      <w:sz w:val="21"/>
                      <w:szCs w:val="21"/>
                    </w:rPr>
                    <w:t>化工业企业无组织排放排查工作，逐企建立清单台账。2019年10月底前，全市工业企业完成物料运输、生产工艺、堆场环节的无组织排放深度治理，全面实现“五到位、一密闭”。“五到位”即：生产过程收尘到位，生产工艺产尘点设置集气罩并配备除尘设施，不能有可见烟尘外逸；物料运输抑尘到位，粉状、粒状物料及燃料运输采用密闭皮带、密闭通廊、管状带式输送机或密闭车厢、真空罐车、气力输送等密闭方式，汽车、火车、皮带输送机等卸料点设置集气罩或密闭罩，并配备除尘设施；厂区道路除尘到位，路面实施硬化，定时进行洒水清扫，出口处配备车轮和车身清洗装置；裸露土地绿化到位，厂区内可见裸露土地全部绿化，确实不能绿化的尽可能硬化；无组织排放监控到位，因企制宜安装视频、空气微站、降尘缸、TSP（总悬浮颗粒物）等监控设施。“一密闭”即：厂区内贮存的各类易产生粉尘的物料及燃料全部密闭，禁止露天堆放。对无组织排放达不到要求的企业，严格依照《中华人民共和国大气污染防治法》予以处罚，并责令停产整改。</w:t>
                  </w:r>
                </w:p>
              </w:tc>
              <w:tc>
                <w:tcPr>
                  <w:tcW w:w="870"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bCs/>
                      <w:sz w:val="21"/>
                      <w:szCs w:val="21"/>
                    </w:rPr>
                    <w:t>项目原辅材料项目无粉状物料，原料储存区位于厂房内，物料运输环节不产生无组织废气；产生颗粒物的工序按要求采用集气罩收集后引致脉冲式袋式除尘器治理后，尾气通过1根15m高排气筒排放</w:t>
                  </w:r>
                  <w:r>
                    <w:rPr>
                      <w:rFonts w:hint="eastAsia" w:ascii="Times New Roman" w:hAnsi="Times New Roman" w:cs="Times New Roman"/>
                      <w:bCs/>
                      <w:sz w:val="21"/>
                      <w:szCs w:val="21"/>
                    </w:rPr>
                    <w:t>，对桌面、地面散落粉尘采用工业级吸尘器进行定期清理</w:t>
                  </w:r>
                  <w:r>
                    <w:rPr>
                      <w:rFonts w:ascii="Times New Roman" w:hAnsi="Times New Roman" w:cs="Times New Roman"/>
                      <w:bCs/>
                      <w:sz w:val="21"/>
                      <w:szCs w:val="21"/>
                    </w:rPr>
                    <w:t>。。</w:t>
                  </w:r>
                </w:p>
              </w:tc>
              <w:tc>
                <w:tcPr>
                  <w:tcW w:w="648" w:type="pct"/>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符合</w:t>
                  </w: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6.8 与《新乡工业产业集聚区（后更名为新乡经济技术开发区）发展规划环境影响报告书》相符性分析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新乡经济技术开发区《新乡工业产业集聚区（后更名为新乡经济技术开发区）发展规划环境影响报告书》于2010年由新乡市环境保护科学设计研究院编制完成，该规划环评2011年1月已取得河南省环保厅的批复（豫环审[2011]2号）。本项目与经开区准入条件分析对比见表13。</w:t>
            </w:r>
          </w:p>
          <w:p>
            <w:pPr>
              <w:jc w:val="center"/>
              <w:rPr>
                <w:rFonts w:ascii="Times New Roman" w:hAnsi="Times New Roman" w:cs="Times New Roman"/>
                <w:b/>
                <w:bCs/>
                <w:sz w:val="22"/>
              </w:rPr>
            </w:pPr>
            <w:r>
              <w:rPr>
                <w:rFonts w:ascii="Times New Roman" w:hAnsi="Times New Roman" w:cs="Times New Roman"/>
                <w:b/>
                <w:bCs/>
                <w:sz w:val="22"/>
              </w:rPr>
              <w:t xml:space="preserve">表 </w:t>
            </w:r>
            <w:r>
              <w:rPr>
                <w:rFonts w:ascii="Times New Roman" w:hAnsi="Times New Roman" w:cs="Times New Roman"/>
                <w:b/>
                <w:bCs/>
                <w:sz w:val="22"/>
              </w:rPr>
              <w:fldChar w:fldCharType="begin"/>
            </w:r>
            <w:r>
              <w:rPr>
                <w:rFonts w:ascii="Times New Roman" w:hAnsi="Times New Roman" w:cs="Times New Roman"/>
                <w:b/>
                <w:bCs/>
                <w:sz w:val="22"/>
              </w:rPr>
              <w:instrText xml:space="preserve"> SEQ 表 \* ARABIC </w:instrText>
            </w:r>
            <w:r>
              <w:rPr>
                <w:rFonts w:ascii="Times New Roman" w:hAnsi="Times New Roman" w:cs="Times New Roman"/>
                <w:b/>
                <w:bCs/>
                <w:sz w:val="22"/>
              </w:rPr>
              <w:fldChar w:fldCharType="separate"/>
            </w:r>
            <w:r>
              <w:rPr>
                <w:rFonts w:ascii="Times New Roman" w:hAnsi="Times New Roman" w:cs="Times New Roman"/>
                <w:b/>
                <w:bCs/>
                <w:sz w:val="22"/>
              </w:rPr>
              <w:t>13</w:t>
            </w:r>
            <w:r>
              <w:rPr>
                <w:rFonts w:ascii="Times New Roman" w:hAnsi="Times New Roman" w:cs="Times New Roman"/>
                <w:b/>
                <w:bCs/>
                <w:sz w:val="22"/>
              </w:rPr>
              <w:fldChar w:fldCharType="end"/>
            </w:r>
            <w:r>
              <w:rPr>
                <w:rFonts w:hint="eastAsia" w:ascii="Times New Roman" w:hAnsi="Times New Roman" w:cs="Times New Roman"/>
                <w:b/>
                <w:bCs/>
                <w:sz w:val="22"/>
              </w:rPr>
              <w:t xml:space="preserve"> </w:t>
            </w:r>
            <w:r>
              <w:rPr>
                <w:rFonts w:ascii="Times New Roman" w:hAnsi="Times New Roman" w:cs="Times New Roman"/>
                <w:b/>
                <w:bCs/>
                <w:sz w:val="22"/>
              </w:rPr>
              <w:t>本项目与经开区准入条件对比情况一览表</w:t>
            </w:r>
          </w:p>
          <w:tbl>
            <w:tblPr>
              <w:tblStyle w:val="28"/>
              <w:tblpPr w:leftFromText="180" w:rightFromText="180" w:vertAnchor="text" w:horzAnchor="page" w:tblpX="180" w:tblpY="299"/>
              <w:tblOverlap w:val="never"/>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3346"/>
              <w:gridCol w:w="3117"/>
              <w:gridCol w:w="1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9" w:type="dxa"/>
                  <w:tcBorders>
                    <w:tl2br w:val="nil"/>
                    <w:tr2bl w:val="nil"/>
                  </w:tcBorders>
                  <w:vAlign w:val="center"/>
                </w:tcPr>
                <w:p>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类 别</w:t>
                  </w:r>
                </w:p>
              </w:tc>
              <w:tc>
                <w:tcPr>
                  <w:tcW w:w="3346" w:type="dxa"/>
                  <w:tcBorders>
                    <w:tl2br w:val="nil"/>
                    <w:tr2bl w:val="nil"/>
                  </w:tcBorders>
                  <w:vAlign w:val="center"/>
                </w:tcPr>
                <w:p>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经开区项目准入条件</w:t>
                  </w:r>
                </w:p>
              </w:tc>
              <w:tc>
                <w:tcPr>
                  <w:tcW w:w="3117" w:type="dxa"/>
                  <w:tcBorders>
                    <w:tl2br w:val="nil"/>
                    <w:tr2bl w:val="nil"/>
                  </w:tcBorders>
                  <w:vAlign w:val="center"/>
                </w:tcPr>
                <w:p>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本项目情况</w:t>
                  </w:r>
                </w:p>
              </w:tc>
              <w:tc>
                <w:tcPr>
                  <w:tcW w:w="1190" w:type="dxa"/>
                  <w:tcBorders>
                    <w:tl2br w:val="nil"/>
                    <w:tr2bl w:val="nil"/>
                  </w:tcBorders>
                  <w:vAlign w:val="center"/>
                </w:tcPr>
                <w:p>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对比结果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9"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产业</w:t>
                  </w:r>
                </w:p>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政策</w:t>
                  </w:r>
                </w:p>
              </w:tc>
              <w:tc>
                <w:tcPr>
                  <w:tcW w:w="3346" w:type="dxa"/>
                  <w:tcBorders>
                    <w:tl2br w:val="nil"/>
                    <w:tr2bl w:val="nil"/>
                  </w:tcBorders>
                  <w:vAlign w:val="center"/>
                </w:tcPr>
                <w:p>
                  <w:pPr>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经开区入区建设项目在环境保护方面应做到高起点、高标准、严要求，禁止新建国家《产业结构调整指导目录（2013年修改》、《外商投资产业指导目录（2007年修订）》中限制、淘汰类的建设项目。</w:t>
                  </w:r>
                </w:p>
              </w:tc>
              <w:tc>
                <w:tcPr>
                  <w:tcW w:w="3117" w:type="dxa"/>
                  <w:tcBorders>
                    <w:tl2br w:val="nil"/>
                    <w:tr2bl w:val="nil"/>
                  </w:tcBorders>
                  <w:vAlign w:val="center"/>
                </w:tcPr>
                <w:p>
                  <w:pPr>
                    <w:adjustRightInd w:val="0"/>
                    <w:snapToGrid w:val="0"/>
                    <w:spacing w:line="288" w:lineRule="auto"/>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本项目为年产300套环保设备关键部件制造项目</w:t>
                  </w:r>
                  <w:r>
                    <w:rPr>
                      <w:rFonts w:ascii="Times New Roman" w:hAnsi="Times New Roman" w:cs="Times New Roman"/>
                      <w:sz w:val="21"/>
                      <w:szCs w:val="21"/>
                    </w:rPr>
                    <w:t>，属于《产业结构调整指导目录（2019年本）》中鼓励类项目。</w:t>
                  </w:r>
                </w:p>
              </w:tc>
              <w:tc>
                <w:tcPr>
                  <w:tcW w:w="1190" w:type="dxa"/>
                  <w:tcBorders>
                    <w:tl2br w:val="nil"/>
                    <w:tr2bl w:val="nil"/>
                  </w:tcBorders>
                  <w:vAlign w:val="center"/>
                </w:tcPr>
                <w:p>
                  <w:pPr>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9"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空间</w:t>
                  </w:r>
                </w:p>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布局</w:t>
                  </w:r>
                </w:p>
              </w:tc>
              <w:tc>
                <w:tcPr>
                  <w:tcW w:w="3346" w:type="dxa"/>
                  <w:tcBorders>
                    <w:tl2br w:val="nil"/>
                    <w:tr2bl w:val="nil"/>
                  </w:tcBorders>
                  <w:vAlign w:val="center"/>
                </w:tcPr>
                <w:p>
                  <w:pPr>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装备制造区：鼓励超特高压交流开关设备及关键部件、直流输电设备、换流阀控制与保护器、直流场成套设备、超特高压电力电缆、变压器、智能电表以及高附加值关键配套件等符合《国务院装备制造业调整振兴规划》和《河南省装备制造业调整振兴规划》发展方向的项目入区；鼓励使用高固体分、水性涂料等低(无) VOCs含量的原辅材料，鼓励使用</w:t>
                  </w:r>
                  <w:r>
                    <w:rPr>
                      <w:rFonts w:hint="eastAsia" w:ascii="Times New Roman" w:hAnsi="Times New Roman" w:cs="Times New Roman"/>
                      <w:sz w:val="21"/>
                      <w:szCs w:val="21"/>
                    </w:rPr>
                    <w:t>“</w:t>
                  </w:r>
                  <w:r>
                    <w:rPr>
                      <w:rFonts w:ascii="Times New Roman" w:hAnsi="Times New Roman" w:cs="Times New Roman"/>
                      <w:sz w:val="21"/>
                      <w:szCs w:val="21"/>
                    </w:rPr>
                    <w:t>三涂一烘</w:t>
                  </w:r>
                  <w:r>
                    <w:rPr>
                      <w:rFonts w:hint="eastAsia" w:ascii="Times New Roman" w:hAnsi="Times New Roman" w:cs="Times New Roman"/>
                      <w:sz w:val="21"/>
                      <w:szCs w:val="21"/>
                    </w:rPr>
                    <w:t>”</w:t>
                  </w:r>
                  <w:r>
                    <w:rPr>
                      <w:rFonts w:ascii="Times New Roman" w:hAnsi="Times New Roman" w:cs="Times New Roman"/>
                      <w:sz w:val="21"/>
                      <w:szCs w:val="21"/>
                    </w:rPr>
                    <w:t>“两涂一烘或免中涂等紧凑型涂装工艺；鼓励静电喷涂等高效涂装工艺，鼓励采用自动化、智能化喷涂设备替代人工喷涂；鼓励对喷漆废气建设吸附燃烧等高效治理设施。</w:t>
                  </w:r>
                </w:p>
              </w:tc>
              <w:tc>
                <w:tcPr>
                  <w:tcW w:w="3117" w:type="dxa"/>
                  <w:tcBorders>
                    <w:tl2br w:val="nil"/>
                    <w:tr2bl w:val="nil"/>
                  </w:tcBorders>
                  <w:vAlign w:val="center"/>
                </w:tcPr>
                <w:p>
                  <w:pPr>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本项目不属于园区优先鼓励类项目，</w:t>
                  </w:r>
                  <w:r>
                    <w:rPr>
                      <w:rFonts w:hint="eastAsia" w:ascii="Times New Roman" w:hAnsi="Times New Roman" w:cs="Times New Roman"/>
                      <w:sz w:val="21"/>
                      <w:szCs w:val="21"/>
                    </w:rPr>
                    <w:t>但本项目属于</w:t>
                  </w:r>
                  <w:r>
                    <w:rPr>
                      <w:rFonts w:ascii="Times New Roman" w:hAnsi="Times New Roman" w:cs="Times New Roman"/>
                      <w:sz w:val="21"/>
                      <w:szCs w:val="21"/>
                    </w:rPr>
                    <w:t>《产业结构调整指导目录（2019年本）》中鼓励类项目。</w:t>
                  </w:r>
                </w:p>
              </w:tc>
              <w:tc>
                <w:tcPr>
                  <w:tcW w:w="1190" w:type="dxa"/>
                  <w:tcBorders>
                    <w:tl2br w:val="nil"/>
                    <w:tr2bl w:val="nil"/>
                  </w:tcBorders>
                  <w:vAlign w:val="center"/>
                </w:tcPr>
                <w:p>
                  <w:pPr>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9" w:type="dxa"/>
                  <w:tcBorders>
                    <w:tl2br w:val="nil"/>
                    <w:tr2bl w:val="nil"/>
                  </w:tcBorders>
                  <w:vAlign w:val="center"/>
                </w:tcPr>
                <w:p>
                  <w:pPr>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污染物排放总量控制</w:t>
                  </w:r>
                </w:p>
              </w:tc>
              <w:tc>
                <w:tcPr>
                  <w:tcW w:w="3346" w:type="dxa"/>
                  <w:tcBorders>
                    <w:tl2br w:val="nil"/>
                    <w:tr2bl w:val="nil"/>
                  </w:tcBorders>
                  <w:vAlign w:val="center"/>
                </w:tcPr>
                <w:p>
                  <w:pPr>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禁止发展环境污染严重、无污染治理技术或治理技术在技术经济上根本不可行的项目。</w:t>
                  </w:r>
                </w:p>
              </w:tc>
              <w:tc>
                <w:tcPr>
                  <w:tcW w:w="3117" w:type="dxa"/>
                  <w:tcBorders>
                    <w:tl2br w:val="nil"/>
                    <w:tr2bl w:val="nil"/>
                  </w:tcBorders>
                  <w:vAlign w:val="center"/>
                </w:tcPr>
                <w:p>
                  <w:pPr>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本项目为机械制造，主要涉及机加工，不属于污染严重的项目，产生的废气、废水、固废等都能进行有效处理，达标排放。</w:t>
                  </w:r>
                </w:p>
              </w:tc>
              <w:tc>
                <w:tcPr>
                  <w:tcW w:w="1190" w:type="dxa"/>
                  <w:tcBorders>
                    <w:tl2br w:val="nil"/>
                    <w:tr2bl w:val="nil"/>
                  </w:tcBorders>
                  <w:vAlign w:val="center"/>
                </w:tcPr>
                <w:p>
                  <w:pPr>
                    <w:adjustRightInd w:val="0"/>
                    <w:snapToGrid w:val="0"/>
                    <w:spacing w:line="288" w:lineRule="auto"/>
                    <w:rPr>
                      <w:rFonts w:ascii="Times New Roman" w:hAnsi="Times New Roman" w:cs="Times New Roman"/>
                      <w:sz w:val="21"/>
                      <w:szCs w:val="21"/>
                    </w:rPr>
                  </w:pPr>
                  <w:r>
                    <w:rPr>
                      <w:rFonts w:ascii="Times New Roman" w:hAnsi="Times New Roman" w:cs="Times New Roman"/>
                      <w:sz w:val="21"/>
                      <w:szCs w:val="21"/>
                    </w:rPr>
                    <w:t>符合</w:t>
                  </w:r>
                </w:p>
              </w:tc>
            </w:tr>
          </w:tbl>
          <w:p>
            <w:pPr>
              <w:spacing w:line="360" w:lineRule="auto"/>
              <w:rPr>
                <w:rFonts w:ascii="Times New Roman" w:hAnsi="Times New Roman" w:cs="Times New Roman"/>
                <w:b/>
                <w:bCs/>
                <w:color w:val="000000" w:themeColor="text1"/>
                <w:sz w:val="24"/>
                <w:szCs w:val="20"/>
                <w14:textFill>
                  <w14:solidFill>
                    <w14:schemeClr w14:val="tx1"/>
                  </w14:solidFill>
                </w14:textFill>
              </w:rPr>
            </w:pPr>
            <w:r>
              <w:rPr>
                <w:rFonts w:hint="eastAsia" w:ascii="Times New Roman" w:hAnsi="Times New Roman" w:cs="Times New Roman"/>
                <w:b/>
                <w:bCs/>
                <w:color w:val="000000" w:themeColor="text1"/>
                <w:sz w:val="24"/>
                <w:szCs w:val="20"/>
                <w14:textFill>
                  <w14:solidFill>
                    <w14:schemeClr w14:val="tx1"/>
                  </w14:solidFill>
                </w14:textFill>
              </w:rPr>
              <w:t>7、规划符合性分析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本项目选址位于</w:t>
            </w:r>
            <w:r>
              <w:rPr>
                <w:rFonts w:hint="eastAsia" w:ascii="Times New Roman" w:hAnsi="Times New Roman" w:cs="Times New Roman"/>
                <w:color w:val="000000" w:themeColor="text1"/>
                <w:sz w:val="24"/>
                <w14:textFill>
                  <w14:solidFill>
                    <w14:schemeClr w14:val="tx1"/>
                  </w14:solidFill>
                </w14:textFill>
              </w:rPr>
              <w:t>新乡市新乡经济技术开发区支一路与支四路交叉口向东150米</w:t>
            </w:r>
            <w:r>
              <w:rPr>
                <w:rFonts w:hint="eastAsia" w:ascii="Times New Roman" w:hAnsi="Times New Roman" w:cs="Times New Roman"/>
                <w:sz w:val="24"/>
                <w:szCs w:val="24"/>
              </w:rPr>
              <w:t>，根据《新乡经济技术开发区发展规划（2009-2020）》及《新乡经济技术开发区发展规划（2009-2020）环境影响跟踪评价报告书》用地规划图（详见附图2）可知，新乡经济技术开发区主导功能为化纤纺织、汽车及零部件制造、装备制造三大主导产业。本项目“年产300套环保设备关键部件制造项目”涉及机械制造，符合新乡经济技术开发区的产业布局要求。拟建项目厂址所在地块属于一类工业用地，符合规划用地要求。</w:t>
            </w:r>
          </w:p>
          <w:p>
            <w:pPr>
              <w:spacing w:line="360" w:lineRule="auto"/>
              <w:rPr>
                <w:rFonts w:ascii="Times New Roman" w:hAnsi="Times New Roman" w:cs="Times New Roman"/>
                <w:b/>
                <w:bCs/>
                <w:color w:val="000000" w:themeColor="text1"/>
                <w:sz w:val="24"/>
                <w:szCs w:val="20"/>
                <w14:textFill>
                  <w14:solidFill>
                    <w14:schemeClr w14:val="tx1"/>
                  </w14:solidFill>
                </w14:textFill>
              </w:rPr>
            </w:pPr>
            <w:r>
              <w:rPr>
                <w:rFonts w:hint="eastAsia" w:ascii="Times New Roman" w:hAnsi="Times New Roman" w:cs="Times New Roman"/>
                <w:b/>
                <w:bCs/>
                <w:color w:val="000000" w:themeColor="text1"/>
                <w:sz w:val="24"/>
                <w:szCs w:val="20"/>
                <w14:textFill>
                  <w14:solidFill>
                    <w14:schemeClr w14:val="tx1"/>
                  </w14:solidFill>
                </w14:textFill>
              </w:rPr>
              <w:t>8、选址符合性分析</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本项目选址位于</w:t>
            </w:r>
            <w:r>
              <w:rPr>
                <w:rFonts w:hint="eastAsia" w:ascii="Times New Roman" w:hAnsi="Times New Roman" w:cs="Times New Roman"/>
                <w:color w:val="000000" w:themeColor="text1"/>
                <w:sz w:val="24"/>
                <w14:textFill>
                  <w14:solidFill>
                    <w14:schemeClr w14:val="tx1"/>
                  </w14:solidFill>
                </w14:textFill>
              </w:rPr>
              <w:t>新乡市新乡经济技术开发区支一路与支四路交叉口向东150米</w:t>
            </w:r>
            <w:r>
              <w:rPr>
                <w:rFonts w:hint="eastAsia" w:ascii="Times New Roman" w:hAnsi="Times New Roman" w:cs="Times New Roman"/>
                <w:sz w:val="24"/>
                <w:szCs w:val="24"/>
              </w:rPr>
              <w:t>，厂区中心地理坐标为：经度 114°3′50.84″；纬度 35°17′21.29″。四至范围：厂区东侧为新乡市景宏科技有限公司、北侧为新乡市通用电机有限公司、新乡如兰床上用品有限公司、西侧为河南翔康隧道设备制造有限公司、南侧为支四路。经现场勘查，本项目评价范围内无自然保护区、风景名胜区、饮用水源保护区等保护目标。因此，本项目建设选址合理。项目周边环境示意见附图4。</w:t>
            </w:r>
          </w:p>
          <w:p>
            <w:pPr>
              <w:spacing w:line="360" w:lineRule="auto"/>
              <w:rPr>
                <w:rFonts w:ascii="Times New Roman" w:hAnsi="Times New Roman" w:cs="Times New Roman"/>
                <w:b/>
                <w:bCs/>
                <w:color w:val="000000" w:themeColor="text1"/>
                <w:sz w:val="24"/>
                <w:szCs w:val="20"/>
                <w14:textFill>
                  <w14:solidFill>
                    <w14:schemeClr w14:val="tx1"/>
                  </w14:solidFill>
                </w14:textFill>
              </w:rPr>
            </w:pPr>
            <w:r>
              <w:rPr>
                <w:rFonts w:hint="eastAsia" w:ascii="Times New Roman" w:hAnsi="Times New Roman" w:cs="Times New Roman"/>
                <w:b/>
                <w:bCs/>
                <w:color w:val="000000" w:themeColor="text1"/>
                <w:sz w:val="24"/>
                <w:szCs w:val="20"/>
                <w14:textFill>
                  <w14:solidFill>
                    <w14:schemeClr w14:val="tx1"/>
                  </w14:solidFill>
                </w14:textFill>
              </w:rPr>
              <w:t>9、工作制度与劳动定员</w:t>
            </w:r>
          </w:p>
          <w:p>
            <w:pPr>
              <w:tabs>
                <w:tab w:val="left" w:pos="540"/>
              </w:tabs>
              <w:adjustRightInd w:val="0"/>
              <w:snapToGrid w:val="0"/>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项目</w:t>
            </w:r>
            <w:r>
              <w:rPr>
                <w:rFonts w:hint="eastAsia" w:ascii="Times New Roman" w:hAnsi="Times New Roman" w:cs="Times New Roman"/>
                <w:color w:val="000000" w:themeColor="text1"/>
                <w:sz w:val="24"/>
                <w14:textFill>
                  <w14:solidFill>
                    <w14:schemeClr w14:val="tx1"/>
                  </w14:solidFill>
                </w14:textFill>
              </w:rPr>
              <w:t>总</w:t>
            </w:r>
            <w:r>
              <w:rPr>
                <w:rFonts w:ascii="Times New Roman" w:hAnsi="Times New Roman" w:cs="Times New Roman"/>
                <w:color w:val="000000" w:themeColor="text1"/>
                <w:sz w:val="24"/>
                <w14:textFill>
                  <w14:solidFill>
                    <w14:schemeClr w14:val="tx1"/>
                  </w14:solidFill>
                </w14:textFill>
              </w:rPr>
              <w:t>劳动定员</w:t>
            </w:r>
            <w:r>
              <w:rPr>
                <w:rFonts w:hint="eastAsia" w:ascii="Times New Roman" w:hAnsi="Times New Roman" w:cs="Times New Roman"/>
                <w:color w:val="000000" w:themeColor="text1"/>
                <w:sz w:val="24"/>
                <w14:textFill>
                  <w14:solidFill>
                    <w14:schemeClr w14:val="tx1"/>
                  </w14:solidFill>
                </w14:textFill>
              </w:rPr>
              <w:t>30</w:t>
            </w:r>
            <w:r>
              <w:rPr>
                <w:rFonts w:ascii="Times New Roman" w:hAnsi="Times New Roman" w:cs="Times New Roman"/>
                <w:color w:val="000000" w:themeColor="text1"/>
                <w:sz w:val="24"/>
                <w14:textFill>
                  <w14:solidFill>
                    <w14:schemeClr w14:val="tx1"/>
                  </w14:solidFill>
                </w14:textFill>
              </w:rPr>
              <w:t>人，年工作300天，每天一班制，每班8小时。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21" w:hRule="atLeast"/>
          <w:jc w:val="center"/>
        </w:trPr>
        <w:tc>
          <w:tcPr>
            <w:tcW w:w="8756" w:type="dxa"/>
            <w:gridSpan w:val="9"/>
            <w:tcBorders>
              <w:bottom w:val="single" w:color="auto" w:sz="4" w:space="0"/>
            </w:tcBorders>
          </w:tcPr>
          <w:p>
            <w:pPr>
              <w:spacing w:line="360" w:lineRule="auto"/>
              <w:rPr>
                <w:rFonts w:ascii="Times New Roman" w:hAnsi="Times New Roman" w:eastAsia="黑体" w:cs="Times New Roman"/>
                <w:color w:val="000000" w:themeColor="text1"/>
                <w:szCs w:val="28"/>
                <w14:textFill>
                  <w14:solidFill>
                    <w14:schemeClr w14:val="tx1"/>
                  </w14:solidFill>
                </w14:textFill>
              </w:rPr>
            </w:pPr>
            <w:r>
              <w:rPr>
                <w:rFonts w:ascii="Times New Roman" w:hAnsi="Times New Roman" w:eastAsia="黑体" w:cs="Times New Roman"/>
                <w:color w:val="000000" w:themeColor="text1"/>
                <w:szCs w:val="28"/>
                <w14:textFill>
                  <w14:solidFill>
                    <w14:schemeClr w14:val="tx1"/>
                  </w14:solidFill>
                </w14:textFill>
              </w:rPr>
              <w:t>与项目有关的污染情况及主要环境问题：</w:t>
            </w:r>
          </w:p>
          <w:p>
            <w:pPr>
              <w:widowControl/>
              <w:adjustRightInd w:val="0"/>
              <w:snapToGrid w:val="0"/>
              <w:spacing w:line="360" w:lineRule="auto"/>
              <w:ind w:firstLine="480" w:firstLineChars="200"/>
              <w:jc w:val="left"/>
              <w:rPr>
                <w:rFonts w:ascii="Times New Roman" w:hAnsi="Times New Roman" w:cs="Times New Roman"/>
                <w:kern w:val="0"/>
                <w:sz w:val="24"/>
                <w:szCs w:val="24"/>
                <w:lang w:val="zh-CN"/>
              </w:rPr>
            </w:pPr>
            <w:r>
              <w:rPr>
                <w:rFonts w:ascii="Times New Roman" w:hAnsi="Times New Roman" w:cs="Times New Roman"/>
                <w:sz w:val="24"/>
              </w:rPr>
              <w:t>新乡市红阳油脂工程技术有限公司</w:t>
            </w:r>
            <w:r>
              <w:rPr>
                <w:rFonts w:ascii="Times New Roman" w:hAnsi="Times New Roman" w:cs="Times New Roman"/>
                <w:kern w:val="0"/>
                <w:sz w:val="24"/>
                <w:szCs w:val="24"/>
                <w:lang w:val="zh-CN"/>
              </w:rPr>
              <w:t>，厂址位于新乡市新乡经济技术开发区支一路与支四路交叉口向东150米，现有项目为</w:t>
            </w:r>
            <w:r>
              <w:rPr>
                <w:rFonts w:hint="eastAsia" w:ascii="Times New Roman" w:hAnsi="Times New Roman" w:cs="Times New Roman"/>
                <w:kern w:val="0"/>
                <w:sz w:val="24"/>
                <w:szCs w:val="24"/>
                <w:lang w:val="zh-CN"/>
              </w:rPr>
              <w:t>“</w:t>
            </w:r>
            <w:r>
              <w:rPr>
                <w:rFonts w:hint="eastAsia" w:ascii="Times New Roman" w:hAnsi="Times New Roman" w:cs="Times New Roman"/>
                <w:sz w:val="24"/>
              </w:rPr>
              <w:t>年产油脂设备5套项目</w:t>
            </w:r>
            <w:r>
              <w:rPr>
                <w:rFonts w:hint="eastAsia" w:ascii="Times New Roman" w:hAnsi="Times New Roman" w:cs="Times New Roman"/>
                <w:kern w:val="0"/>
                <w:sz w:val="24"/>
                <w:szCs w:val="24"/>
                <w:lang w:val="zh-CN"/>
              </w:rPr>
              <w:t>”</w:t>
            </w:r>
            <w:r>
              <w:rPr>
                <w:rFonts w:ascii="Times New Roman" w:hAnsi="Times New Roman" w:cs="Times New Roman"/>
                <w:kern w:val="0"/>
                <w:sz w:val="24"/>
                <w:szCs w:val="24"/>
                <w:lang w:val="zh-CN"/>
              </w:rPr>
              <w:t>，该项目</w:t>
            </w:r>
            <w:r>
              <w:rPr>
                <w:rFonts w:hint="eastAsia" w:ascii="Times New Roman" w:hAnsi="Times New Roman" w:cs="Times New Roman"/>
                <w:kern w:val="0"/>
                <w:sz w:val="24"/>
                <w:szCs w:val="24"/>
              </w:rPr>
              <w:t>2010年编制环境影响登记表，</w:t>
            </w:r>
            <w:r>
              <w:rPr>
                <w:rFonts w:ascii="Times New Roman" w:hAnsi="Times New Roman" w:cs="Times New Roman"/>
                <w:kern w:val="0"/>
                <w:sz w:val="24"/>
                <w:szCs w:val="24"/>
                <w:lang w:val="zh-CN"/>
              </w:rPr>
              <w:t>201</w:t>
            </w:r>
            <w:r>
              <w:rPr>
                <w:rFonts w:hint="eastAsia" w:ascii="Times New Roman" w:hAnsi="Times New Roman" w:cs="Times New Roman"/>
                <w:kern w:val="0"/>
                <w:sz w:val="24"/>
                <w:szCs w:val="24"/>
              </w:rPr>
              <w:t>0</w:t>
            </w:r>
            <w:r>
              <w:rPr>
                <w:rFonts w:ascii="Times New Roman" w:hAnsi="Times New Roman" w:cs="Times New Roman"/>
                <w:kern w:val="0"/>
                <w:sz w:val="24"/>
                <w:szCs w:val="24"/>
                <w:lang w:val="zh-CN"/>
              </w:rPr>
              <w:t>年</w:t>
            </w:r>
            <w:r>
              <w:rPr>
                <w:rFonts w:hint="eastAsia" w:ascii="Times New Roman" w:hAnsi="Times New Roman" w:cs="Times New Roman"/>
                <w:kern w:val="0"/>
                <w:sz w:val="24"/>
                <w:szCs w:val="24"/>
              </w:rPr>
              <w:t>4</w:t>
            </w:r>
            <w:r>
              <w:rPr>
                <w:rFonts w:ascii="Times New Roman" w:hAnsi="Times New Roman" w:cs="Times New Roman"/>
                <w:kern w:val="0"/>
                <w:sz w:val="24"/>
                <w:szCs w:val="24"/>
                <w:lang w:val="zh-CN"/>
              </w:rPr>
              <w:t>月</w:t>
            </w:r>
            <w:r>
              <w:rPr>
                <w:rFonts w:hint="eastAsia" w:ascii="Times New Roman" w:hAnsi="Times New Roman" w:cs="Times New Roman"/>
                <w:kern w:val="0"/>
                <w:sz w:val="24"/>
                <w:szCs w:val="24"/>
              </w:rPr>
              <w:t>30</w:t>
            </w:r>
            <w:r>
              <w:rPr>
                <w:rFonts w:ascii="Times New Roman" w:hAnsi="Times New Roman" w:cs="Times New Roman"/>
                <w:kern w:val="0"/>
                <w:sz w:val="24"/>
                <w:szCs w:val="24"/>
                <w:lang w:val="zh-CN"/>
              </w:rPr>
              <w:t>日经新乡市环保局</w:t>
            </w:r>
            <w:r>
              <w:rPr>
                <w:rFonts w:hint="eastAsia" w:ascii="Times New Roman" w:hAnsi="Times New Roman" w:cs="Times New Roman"/>
                <w:kern w:val="0"/>
                <w:sz w:val="24"/>
                <w:szCs w:val="24"/>
              </w:rPr>
              <w:t>工业园区分局</w:t>
            </w:r>
            <w:r>
              <w:rPr>
                <w:rFonts w:ascii="Times New Roman" w:hAnsi="Times New Roman" w:cs="Times New Roman"/>
                <w:kern w:val="0"/>
                <w:sz w:val="24"/>
                <w:szCs w:val="24"/>
                <w:lang w:val="zh-CN"/>
              </w:rPr>
              <w:t>批复</w:t>
            </w:r>
            <w:r>
              <w:rPr>
                <w:rFonts w:hint="eastAsia" w:ascii="Times New Roman" w:hAnsi="Times New Roman" w:cs="Times New Roman"/>
                <w:kern w:val="0"/>
                <w:sz w:val="24"/>
                <w:szCs w:val="24"/>
                <w:lang w:val="zh-CN"/>
              </w:rPr>
              <w:t>（</w:t>
            </w:r>
            <w:r>
              <w:rPr>
                <w:rFonts w:hint="eastAsia" w:ascii="Times New Roman" w:hAnsi="Times New Roman" w:cs="Times New Roman"/>
                <w:kern w:val="0"/>
                <w:sz w:val="24"/>
                <w:szCs w:val="24"/>
              </w:rPr>
              <w:t>详见附件4）</w:t>
            </w:r>
            <w:r>
              <w:rPr>
                <w:rFonts w:ascii="Times New Roman" w:hAnsi="Times New Roman" w:cs="Times New Roman"/>
                <w:kern w:val="0"/>
                <w:sz w:val="24"/>
                <w:szCs w:val="24"/>
                <w:lang w:val="zh-CN"/>
              </w:rPr>
              <w:t>。</w:t>
            </w:r>
            <w:r>
              <w:rPr>
                <w:rFonts w:ascii="Times New Roman" w:hAnsi="Times New Roman" w:cs="Times New Roman"/>
                <w:kern w:val="0"/>
                <w:sz w:val="24"/>
                <w:szCs w:val="24"/>
              </w:rPr>
              <w:t>现有项目已于201</w:t>
            </w:r>
            <w:r>
              <w:rPr>
                <w:rFonts w:hint="eastAsia" w:ascii="Times New Roman" w:hAnsi="Times New Roman" w:cs="Times New Roman"/>
                <w:kern w:val="0"/>
                <w:sz w:val="24"/>
                <w:szCs w:val="24"/>
              </w:rPr>
              <w:t>2</w:t>
            </w:r>
            <w:r>
              <w:rPr>
                <w:rFonts w:ascii="Times New Roman" w:hAnsi="Times New Roman" w:cs="Times New Roman"/>
                <w:kern w:val="0"/>
                <w:sz w:val="24"/>
                <w:szCs w:val="24"/>
              </w:rPr>
              <w:t>年</w:t>
            </w:r>
            <w:r>
              <w:rPr>
                <w:rFonts w:hint="eastAsia" w:ascii="Times New Roman" w:hAnsi="Times New Roman" w:cs="Times New Roman"/>
                <w:kern w:val="0"/>
                <w:sz w:val="24"/>
                <w:szCs w:val="24"/>
              </w:rPr>
              <w:t>5</w:t>
            </w:r>
            <w:r>
              <w:rPr>
                <w:rFonts w:ascii="Times New Roman" w:hAnsi="Times New Roman" w:cs="Times New Roman"/>
                <w:kern w:val="0"/>
                <w:sz w:val="24"/>
                <w:szCs w:val="24"/>
              </w:rPr>
              <w:t>月</w:t>
            </w:r>
            <w:r>
              <w:rPr>
                <w:rFonts w:hint="eastAsia" w:ascii="Times New Roman" w:hAnsi="Times New Roman" w:cs="Times New Roman"/>
                <w:kern w:val="0"/>
                <w:sz w:val="24"/>
                <w:szCs w:val="24"/>
              </w:rPr>
              <w:t>24日</w:t>
            </w:r>
            <w:r>
              <w:rPr>
                <w:rFonts w:ascii="Times New Roman" w:hAnsi="Times New Roman" w:cs="Times New Roman"/>
                <w:kern w:val="0"/>
                <w:sz w:val="24"/>
                <w:szCs w:val="24"/>
              </w:rPr>
              <w:t>经新乡市环境保护局</w:t>
            </w:r>
            <w:r>
              <w:rPr>
                <w:rFonts w:hint="eastAsia" w:ascii="Times New Roman" w:hAnsi="Times New Roman" w:cs="Times New Roman"/>
                <w:kern w:val="0"/>
                <w:sz w:val="24"/>
                <w:szCs w:val="24"/>
              </w:rPr>
              <w:t>工业园区分局</w:t>
            </w:r>
            <w:r>
              <w:rPr>
                <w:rFonts w:ascii="Times New Roman" w:hAnsi="Times New Roman" w:cs="Times New Roman"/>
                <w:kern w:val="0"/>
                <w:sz w:val="24"/>
                <w:szCs w:val="24"/>
              </w:rPr>
              <w:t>验收，验收批复文号：新环</w:t>
            </w:r>
            <w:r>
              <w:rPr>
                <w:rFonts w:hint="eastAsia" w:ascii="Times New Roman" w:hAnsi="Times New Roman" w:cs="Times New Roman"/>
                <w:kern w:val="0"/>
                <w:sz w:val="24"/>
                <w:szCs w:val="24"/>
              </w:rPr>
              <w:t>工</w:t>
            </w:r>
            <w:r>
              <w:rPr>
                <w:rFonts w:ascii="Times New Roman" w:hAnsi="Times New Roman" w:cs="Times New Roman"/>
                <w:kern w:val="0"/>
                <w:sz w:val="24"/>
                <w:szCs w:val="24"/>
              </w:rPr>
              <w:t>验（201</w:t>
            </w:r>
            <w:r>
              <w:rPr>
                <w:rFonts w:hint="eastAsia" w:ascii="Times New Roman" w:hAnsi="Times New Roman" w:cs="Times New Roman"/>
                <w:kern w:val="0"/>
                <w:sz w:val="24"/>
                <w:szCs w:val="24"/>
              </w:rPr>
              <w:t>2</w:t>
            </w:r>
            <w:r>
              <w:rPr>
                <w:rFonts w:ascii="Times New Roman" w:hAnsi="Times New Roman" w:cs="Times New Roman"/>
                <w:kern w:val="0"/>
                <w:sz w:val="24"/>
                <w:szCs w:val="24"/>
              </w:rPr>
              <w:t>）</w:t>
            </w:r>
            <w:r>
              <w:rPr>
                <w:rFonts w:hint="eastAsia" w:ascii="Times New Roman" w:hAnsi="Times New Roman" w:cs="Times New Roman"/>
                <w:kern w:val="0"/>
                <w:sz w:val="24"/>
                <w:szCs w:val="24"/>
              </w:rPr>
              <w:t>00</w:t>
            </w:r>
            <w:r>
              <w:rPr>
                <w:rFonts w:ascii="Times New Roman" w:hAnsi="Times New Roman" w:cs="Times New Roman"/>
                <w:kern w:val="0"/>
                <w:sz w:val="24"/>
                <w:szCs w:val="24"/>
              </w:rPr>
              <w:t>3号</w:t>
            </w:r>
            <w:r>
              <w:rPr>
                <w:rFonts w:hint="eastAsia" w:ascii="Times New Roman" w:hAnsi="Times New Roman" w:cs="Times New Roman"/>
                <w:kern w:val="0"/>
                <w:sz w:val="24"/>
                <w:szCs w:val="24"/>
              </w:rPr>
              <w:t>（详见附件4）</w:t>
            </w:r>
            <w:r>
              <w:rPr>
                <w:rFonts w:ascii="Times New Roman" w:hAnsi="Times New Roman" w:cs="Times New Roman"/>
                <w:kern w:val="0"/>
                <w:sz w:val="24"/>
                <w:szCs w:val="24"/>
              </w:rPr>
              <w:t>。</w:t>
            </w:r>
          </w:p>
          <w:p>
            <w:pPr>
              <w:spacing w:line="360" w:lineRule="auto"/>
              <w:ind w:firstLine="480" w:firstLineChars="200"/>
              <w:rPr>
                <w:rFonts w:ascii="Times New Roman" w:hAnsi="Times New Roman" w:cs="Times New Roman"/>
                <w:sz w:val="24"/>
                <w:szCs w:val="24"/>
                <w:lang w:val="zh-CN"/>
              </w:rPr>
            </w:pPr>
            <w:r>
              <w:rPr>
                <w:rFonts w:ascii="Times New Roman" w:hAnsi="Times New Roman" w:cs="Times New Roman"/>
                <w:sz w:val="24"/>
                <w:szCs w:val="24"/>
              </w:rPr>
              <w:t>根据《新乡市红阳油脂工程技术有限公司年产</w:t>
            </w:r>
            <w:r>
              <w:rPr>
                <w:rFonts w:hint="eastAsia" w:ascii="Times New Roman" w:hAnsi="Times New Roman" w:cs="Times New Roman"/>
                <w:sz w:val="24"/>
                <w:szCs w:val="24"/>
              </w:rPr>
              <w:t>油脂设备5套</w:t>
            </w:r>
            <w:r>
              <w:rPr>
                <w:rFonts w:ascii="Times New Roman" w:hAnsi="Times New Roman" w:cs="Times New Roman"/>
                <w:sz w:val="24"/>
                <w:szCs w:val="24"/>
              </w:rPr>
              <w:t>项目竣工环境保护验收监测报告》，现有工程</w:t>
            </w:r>
            <w:r>
              <w:rPr>
                <w:rFonts w:hint="eastAsia" w:ascii="Times New Roman" w:hAnsi="Times New Roman" w:cs="Times New Roman"/>
                <w:sz w:val="24"/>
                <w:szCs w:val="24"/>
              </w:rPr>
              <w:t>简述</w:t>
            </w:r>
            <w:r>
              <w:rPr>
                <w:rFonts w:ascii="Times New Roman" w:hAnsi="Times New Roman" w:cs="Times New Roman"/>
                <w:sz w:val="24"/>
                <w:szCs w:val="24"/>
                <w:lang w:val="zh-CN"/>
              </w:rPr>
              <w:t>如下</w:t>
            </w:r>
            <w:r>
              <w:rPr>
                <w:rFonts w:hint="eastAsia" w:ascii="Times New Roman" w:hAnsi="Times New Roman" w:cs="Times New Roman"/>
                <w:sz w:val="24"/>
                <w:szCs w:val="24"/>
                <w:lang w:val="zh-CN"/>
              </w:rPr>
              <w:t>：</w:t>
            </w:r>
          </w:p>
          <w:p>
            <w:pPr>
              <w:pStyle w:val="2"/>
              <w:spacing w:line="360" w:lineRule="auto"/>
              <w:jc w:val="both"/>
              <w:rPr>
                <w:rFonts w:ascii="Times New Roman" w:hAnsi="Times New Roman" w:eastAsia="宋体" w:cs="Times New Roman"/>
                <w:sz w:val="24"/>
                <w:szCs w:val="24"/>
              </w:rPr>
            </w:pPr>
            <w:r>
              <w:rPr>
                <w:rFonts w:hint="eastAsia" w:ascii="Times New Roman" w:hAnsi="Times New Roman" w:eastAsia="宋体" w:cs="Times New Roman"/>
                <w:sz w:val="24"/>
                <w:szCs w:val="24"/>
              </w:rPr>
              <w:t>1. 现有项目工艺简述</w:t>
            </w:r>
          </w:p>
          <w:p>
            <w:r>
              <w:drawing>
                <wp:inline distT="0" distB="0" distL="114300" distR="114300">
                  <wp:extent cx="5415280" cy="1541780"/>
                  <wp:effectExtent l="0" t="0" r="0" b="0"/>
                  <wp:docPr id="77" name="图片 77" descr="原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原工艺流程图"/>
                          <pic:cNvPicPr>
                            <a:picLocks noChangeAspect="1"/>
                          </pic:cNvPicPr>
                        </pic:nvPicPr>
                        <pic:blipFill>
                          <a:blip r:embed="rId11"/>
                          <a:srcRect b="17890"/>
                          <a:stretch>
                            <a:fillRect/>
                          </a:stretch>
                        </pic:blipFill>
                        <pic:spPr>
                          <a:xfrm>
                            <a:off x="0" y="0"/>
                            <a:ext cx="5415280" cy="1541780"/>
                          </a:xfrm>
                          <a:prstGeom prst="rect">
                            <a:avLst/>
                          </a:prstGeom>
                        </pic:spPr>
                      </pic:pic>
                    </a:graphicData>
                  </a:graphic>
                </wp:inline>
              </w:drawing>
            </w:r>
          </w:p>
          <w:p>
            <w:pPr>
              <w:widowControl/>
              <w:adjustRightInd w:val="0"/>
              <w:snapToGrid w:val="0"/>
              <w:spacing w:line="420" w:lineRule="exact"/>
              <w:ind w:firstLine="442" w:firstLineChars="200"/>
              <w:jc w:val="center"/>
              <w:rPr>
                <w:rFonts w:ascii="Times New Roman" w:hAnsi="Times New Roman" w:cs="Times New Roman"/>
                <w:sz w:val="24"/>
              </w:rPr>
            </w:pPr>
            <w:r>
              <w:rPr>
                <w:rFonts w:ascii="Times New Roman" w:hAnsi="Times New Roman" w:cs="Times New Roman"/>
                <w:b/>
                <w:bCs/>
                <w:sz w:val="22"/>
              </w:rPr>
              <w:t xml:space="preserve">图 </w:t>
            </w:r>
            <w:r>
              <w:rPr>
                <w:rFonts w:ascii="Times New Roman" w:hAnsi="Times New Roman" w:cs="Times New Roman"/>
                <w:b/>
                <w:bCs/>
                <w:sz w:val="22"/>
              </w:rPr>
              <w:fldChar w:fldCharType="begin"/>
            </w:r>
            <w:r>
              <w:rPr>
                <w:rFonts w:ascii="Times New Roman" w:hAnsi="Times New Roman" w:cs="Times New Roman"/>
                <w:b/>
                <w:bCs/>
                <w:sz w:val="22"/>
              </w:rPr>
              <w:instrText xml:space="preserve"> SEQ 图 \* ARABIC </w:instrText>
            </w:r>
            <w:r>
              <w:rPr>
                <w:rFonts w:ascii="Times New Roman" w:hAnsi="Times New Roman" w:cs="Times New Roman"/>
                <w:b/>
                <w:bCs/>
                <w:sz w:val="22"/>
              </w:rPr>
              <w:fldChar w:fldCharType="separate"/>
            </w:r>
            <w:r>
              <w:rPr>
                <w:rFonts w:ascii="Times New Roman" w:hAnsi="Times New Roman" w:cs="Times New Roman"/>
                <w:b/>
                <w:bCs/>
                <w:sz w:val="22"/>
              </w:rPr>
              <w:t>2</w:t>
            </w:r>
            <w:r>
              <w:rPr>
                <w:rFonts w:ascii="Times New Roman" w:hAnsi="Times New Roman" w:cs="Times New Roman"/>
                <w:b/>
                <w:bCs/>
                <w:sz w:val="22"/>
              </w:rPr>
              <w:fldChar w:fldCharType="end"/>
            </w:r>
            <w:r>
              <w:rPr>
                <w:rFonts w:hint="eastAsia" w:ascii="Times New Roman" w:hAnsi="Times New Roman" w:cs="Times New Roman"/>
                <w:b/>
                <w:bCs/>
                <w:sz w:val="22"/>
              </w:rPr>
              <w:t xml:space="preserve"> </w:t>
            </w:r>
            <w:r>
              <w:rPr>
                <w:rFonts w:hint="eastAsia" w:ascii="Times New Roman" w:hAnsi="Times New Roman" w:cs="Times New Roman"/>
                <w:sz w:val="24"/>
              </w:rPr>
              <w:t>现有工艺流程图</w:t>
            </w:r>
          </w:p>
          <w:p>
            <w:pPr>
              <w:widowControl/>
              <w:adjustRightInd w:val="0"/>
              <w:snapToGrid w:val="0"/>
              <w:spacing w:before="156" w:beforeLines="50"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生产工艺简述：将钢板经过机加工，然后与外购阀门、电机焊接组装后即为成品出售。</w:t>
            </w:r>
          </w:p>
          <w:p>
            <w:pPr>
              <w:adjustRightInd w:val="0"/>
              <w:snapToGrid w:val="0"/>
              <w:spacing w:line="520" w:lineRule="exact"/>
              <w:jc w:val="left"/>
              <w:rPr>
                <w:rFonts w:ascii="Times New Roman" w:hAnsi="Times New Roman" w:cs="Times New Roman"/>
                <w:b/>
                <w:bCs/>
                <w:sz w:val="24"/>
                <w:szCs w:val="24"/>
              </w:rPr>
            </w:pPr>
            <w:r>
              <w:rPr>
                <w:rFonts w:hint="eastAsia" w:ascii="Times New Roman" w:hAnsi="Times New Roman" w:cs="Times New Roman"/>
                <w:b/>
                <w:bCs/>
                <w:sz w:val="24"/>
              </w:rPr>
              <w:t>2. 现</w:t>
            </w:r>
            <w:r>
              <w:rPr>
                <w:rFonts w:ascii="Times New Roman" w:hAnsi="Times New Roman" w:cs="Times New Roman"/>
                <w:b/>
                <w:bCs/>
                <w:sz w:val="24"/>
                <w:szCs w:val="24"/>
              </w:rPr>
              <w:t>有</w:t>
            </w:r>
            <w:r>
              <w:rPr>
                <w:rFonts w:hint="eastAsia" w:ascii="Times New Roman" w:hAnsi="Times New Roman" w:cs="Times New Roman"/>
                <w:b/>
                <w:bCs/>
                <w:sz w:val="24"/>
                <w:szCs w:val="24"/>
              </w:rPr>
              <w:t>项目</w:t>
            </w:r>
            <w:r>
              <w:rPr>
                <w:rFonts w:ascii="Times New Roman" w:hAnsi="Times New Roman" w:cs="Times New Roman"/>
                <w:b/>
                <w:bCs/>
                <w:sz w:val="24"/>
                <w:szCs w:val="24"/>
              </w:rPr>
              <w:t>主要原辅材料</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14</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现有项目</w:t>
            </w:r>
            <w:r>
              <w:rPr>
                <w:rFonts w:ascii="Times New Roman" w:hAnsi="Times New Roman" w:cs="Times New Roman"/>
                <w:b/>
                <w:bCs/>
                <w:sz w:val="22"/>
                <w:szCs w:val="22"/>
              </w:rPr>
              <w:t>主要原辅材料一览表</w:t>
            </w:r>
          </w:p>
          <w:tbl>
            <w:tblPr>
              <w:tblStyle w:val="28"/>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3372"/>
              <w:gridCol w:w="3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61" w:type="dxa"/>
                  <w:tcBorders>
                    <w:tl2br w:val="nil"/>
                    <w:tr2bl w:val="nil"/>
                  </w:tcBorders>
                  <w:vAlign w:val="center"/>
                </w:tcPr>
                <w:p>
                  <w:pPr>
                    <w:pStyle w:val="9"/>
                    <w:spacing w:line="288"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项目</w:t>
                  </w:r>
                </w:p>
              </w:tc>
              <w:tc>
                <w:tcPr>
                  <w:tcW w:w="3372" w:type="dxa"/>
                  <w:tcBorders>
                    <w:tl2br w:val="nil"/>
                    <w:tr2bl w:val="nil"/>
                  </w:tcBorders>
                  <w:vAlign w:val="center"/>
                </w:tcPr>
                <w:p>
                  <w:pPr>
                    <w:pStyle w:val="9"/>
                    <w:spacing w:line="288"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名称</w:t>
                  </w:r>
                </w:p>
              </w:tc>
              <w:tc>
                <w:tcPr>
                  <w:tcW w:w="3715" w:type="dxa"/>
                  <w:tcBorders>
                    <w:tl2br w:val="nil"/>
                    <w:tr2bl w:val="nil"/>
                  </w:tcBorders>
                  <w:vAlign w:val="center"/>
                </w:tcPr>
                <w:p>
                  <w:pPr>
                    <w:pStyle w:val="9"/>
                    <w:spacing w:line="288"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年耗量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1" w:type="dxa"/>
                  <w:vMerge w:val="restart"/>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ascii="Times New Roman" w:hAnsi="Times New Roman" w:eastAsia="宋体"/>
                      <w:b w:val="0"/>
                      <w:bCs/>
                      <w:sz w:val="21"/>
                      <w:szCs w:val="21"/>
                      <w:lang w:eastAsia="zh-CN"/>
                    </w:rPr>
                    <w:t>原材料</w:t>
                  </w:r>
                </w:p>
              </w:tc>
              <w:tc>
                <w:tcPr>
                  <w:tcW w:w="3372"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钢板</w:t>
                  </w:r>
                </w:p>
              </w:tc>
              <w:tc>
                <w:tcPr>
                  <w:tcW w:w="3715"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10t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1" w:type="dxa"/>
                  <w:vMerge w:val="continue"/>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p>
              </w:tc>
              <w:tc>
                <w:tcPr>
                  <w:tcW w:w="3372"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角钢</w:t>
                  </w:r>
                </w:p>
              </w:tc>
              <w:tc>
                <w:tcPr>
                  <w:tcW w:w="3715"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5t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1" w:type="dxa"/>
                  <w:vMerge w:val="continue"/>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p>
              </w:tc>
              <w:tc>
                <w:tcPr>
                  <w:tcW w:w="3372"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钢管</w:t>
                  </w:r>
                </w:p>
              </w:tc>
              <w:tc>
                <w:tcPr>
                  <w:tcW w:w="3715"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8t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1" w:type="dxa"/>
                  <w:vMerge w:val="continue"/>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p>
              </w:tc>
              <w:tc>
                <w:tcPr>
                  <w:tcW w:w="3372" w:type="dxa"/>
                  <w:tcBorders>
                    <w:tl2br w:val="nil"/>
                    <w:tr2bl w:val="nil"/>
                  </w:tcBorders>
                  <w:vAlign w:val="center"/>
                </w:tcPr>
                <w:p>
                  <w:pPr>
                    <w:pStyle w:val="9"/>
                    <w:spacing w:before="31" w:beforeLines="10" w:after="31" w:afterLines="10" w:line="288" w:lineRule="auto"/>
                    <w:jc w:val="center"/>
                    <w:rPr>
                      <w:rFonts w:ascii="宋体" w:hAnsi="宋体" w:eastAsia="宋体" w:cs="宋体"/>
                      <w:b w:val="0"/>
                      <w:bCs/>
                      <w:sz w:val="21"/>
                      <w:szCs w:val="21"/>
                      <w:lang w:eastAsia="zh-CN"/>
                    </w:rPr>
                  </w:pPr>
                  <w:r>
                    <w:rPr>
                      <w:rFonts w:hint="eastAsia" w:ascii="宋体" w:hAnsi="宋体" w:eastAsia="宋体" w:cs="宋体"/>
                      <w:b w:val="0"/>
                      <w:bCs/>
                      <w:sz w:val="21"/>
                      <w:szCs w:val="21"/>
                      <w:lang w:eastAsia="zh-CN"/>
                    </w:rPr>
                    <w:t>阀门</w:t>
                  </w:r>
                </w:p>
              </w:tc>
              <w:tc>
                <w:tcPr>
                  <w:tcW w:w="3715" w:type="dxa"/>
                  <w:tcBorders>
                    <w:tl2br w:val="nil"/>
                    <w:tr2bl w:val="nil"/>
                  </w:tcBorders>
                  <w:vAlign w:val="center"/>
                </w:tcPr>
                <w:p>
                  <w:pPr>
                    <w:pStyle w:val="9"/>
                    <w:spacing w:before="31" w:beforeLines="10" w:after="31" w:afterLines="10" w:line="288" w:lineRule="auto"/>
                    <w:jc w:val="center"/>
                    <w:rPr>
                      <w:rFonts w:ascii="宋体" w:hAnsi="宋体" w:eastAsia="宋体" w:cs="宋体"/>
                      <w:b w:val="0"/>
                      <w:bCs/>
                      <w:sz w:val="21"/>
                      <w:szCs w:val="21"/>
                      <w:lang w:eastAsia="zh-CN"/>
                    </w:rPr>
                  </w:pPr>
                  <w:r>
                    <w:rPr>
                      <w:rFonts w:hint="eastAsia" w:ascii="宋体" w:hAnsi="宋体" w:eastAsia="宋体" w:cs="宋体"/>
                      <w:b w:val="0"/>
                      <w:bCs/>
                      <w:sz w:val="21"/>
                      <w:szCs w:val="21"/>
                      <w:lang w:eastAsia="zh-CN"/>
                    </w:rPr>
                    <w:t>40个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1" w:type="dxa"/>
                  <w:vMerge w:val="continue"/>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p>
              </w:tc>
              <w:tc>
                <w:tcPr>
                  <w:tcW w:w="3372" w:type="dxa"/>
                  <w:tcBorders>
                    <w:tl2br w:val="nil"/>
                    <w:tr2bl w:val="nil"/>
                  </w:tcBorders>
                  <w:vAlign w:val="center"/>
                </w:tcPr>
                <w:p>
                  <w:pPr>
                    <w:pStyle w:val="9"/>
                    <w:spacing w:before="31" w:beforeLines="10" w:after="31" w:afterLines="10" w:line="288" w:lineRule="auto"/>
                    <w:jc w:val="center"/>
                    <w:rPr>
                      <w:rFonts w:ascii="宋体" w:hAnsi="宋体" w:eastAsia="宋体" w:cs="宋体"/>
                      <w:b w:val="0"/>
                      <w:bCs/>
                      <w:sz w:val="21"/>
                      <w:szCs w:val="21"/>
                      <w:lang w:eastAsia="zh-CN"/>
                    </w:rPr>
                  </w:pPr>
                  <w:r>
                    <w:rPr>
                      <w:rFonts w:hint="eastAsia" w:ascii="宋体" w:hAnsi="宋体" w:eastAsia="宋体" w:cs="宋体"/>
                      <w:b w:val="0"/>
                      <w:bCs/>
                      <w:sz w:val="21"/>
                      <w:szCs w:val="21"/>
                      <w:lang w:eastAsia="zh-CN"/>
                    </w:rPr>
                    <w:t>电机</w:t>
                  </w:r>
                </w:p>
              </w:tc>
              <w:tc>
                <w:tcPr>
                  <w:tcW w:w="3715" w:type="dxa"/>
                  <w:tcBorders>
                    <w:tl2br w:val="nil"/>
                    <w:tr2bl w:val="nil"/>
                  </w:tcBorders>
                  <w:vAlign w:val="center"/>
                </w:tcPr>
                <w:p>
                  <w:pPr>
                    <w:pStyle w:val="9"/>
                    <w:spacing w:before="31" w:beforeLines="10" w:after="31" w:afterLines="10" w:line="288" w:lineRule="auto"/>
                    <w:jc w:val="center"/>
                    <w:rPr>
                      <w:rFonts w:ascii="宋体" w:hAnsi="宋体" w:eastAsia="宋体" w:cs="宋体"/>
                      <w:b w:val="0"/>
                      <w:bCs/>
                      <w:sz w:val="21"/>
                      <w:szCs w:val="21"/>
                      <w:lang w:eastAsia="zh-CN"/>
                    </w:rPr>
                  </w:pPr>
                  <w:r>
                    <w:rPr>
                      <w:rFonts w:hint="eastAsia" w:ascii="宋体" w:hAnsi="宋体" w:eastAsia="宋体" w:cs="宋体"/>
                      <w:b w:val="0"/>
                      <w:bCs/>
                      <w:sz w:val="21"/>
                      <w:szCs w:val="21"/>
                      <w:lang w:eastAsia="zh-CN"/>
                    </w:rPr>
                    <w:t>5台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1"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辅料</w:t>
                  </w:r>
                </w:p>
              </w:tc>
              <w:tc>
                <w:tcPr>
                  <w:tcW w:w="3372"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焊条</w:t>
                  </w:r>
                </w:p>
              </w:tc>
              <w:tc>
                <w:tcPr>
                  <w:tcW w:w="3715"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0.5t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1" w:type="dxa"/>
                  <w:vMerge w:val="restart"/>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ascii="Times New Roman" w:hAnsi="Times New Roman" w:eastAsia="宋体"/>
                      <w:b w:val="0"/>
                      <w:bCs/>
                      <w:sz w:val="21"/>
                      <w:szCs w:val="21"/>
                      <w:lang w:eastAsia="zh-CN"/>
                    </w:rPr>
                    <w:t>能源</w:t>
                  </w:r>
                </w:p>
              </w:tc>
              <w:tc>
                <w:tcPr>
                  <w:tcW w:w="3372"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ascii="Times New Roman" w:hAnsi="Times New Roman" w:eastAsia="宋体"/>
                      <w:b w:val="0"/>
                      <w:bCs/>
                      <w:sz w:val="21"/>
                      <w:szCs w:val="21"/>
                      <w:lang w:eastAsia="zh-CN"/>
                    </w:rPr>
                    <w:t>水</w:t>
                  </w:r>
                </w:p>
              </w:tc>
              <w:tc>
                <w:tcPr>
                  <w:tcW w:w="3715"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color w:val="000000"/>
                      <w:sz w:val="21"/>
                      <w:szCs w:val="21"/>
                      <w:lang w:eastAsia="zh-CN"/>
                    </w:rPr>
                  </w:pPr>
                  <w:r>
                    <w:rPr>
                      <w:rFonts w:hint="eastAsia" w:ascii="Times New Roman" w:hAnsi="Times New Roman" w:eastAsia="宋体"/>
                      <w:b w:val="0"/>
                      <w:bCs/>
                      <w:color w:val="000000"/>
                      <w:sz w:val="21"/>
                      <w:szCs w:val="21"/>
                      <w:lang w:eastAsia="zh-CN"/>
                    </w:rPr>
                    <w:t>50t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61" w:type="dxa"/>
                  <w:vMerge w:val="continue"/>
                  <w:tcBorders>
                    <w:tl2br w:val="nil"/>
                    <w:tr2bl w:val="nil"/>
                  </w:tcBorders>
                  <w:vAlign w:val="center"/>
                </w:tcPr>
                <w:p>
                  <w:pPr>
                    <w:pStyle w:val="9"/>
                    <w:spacing w:before="31" w:beforeLines="10" w:after="31" w:afterLines="10" w:line="288" w:lineRule="auto"/>
                    <w:ind w:firstLine="480"/>
                    <w:jc w:val="center"/>
                    <w:rPr>
                      <w:rFonts w:ascii="Times New Roman" w:hAnsi="Times New Roman" w:eastAsia="宋体"/>
                      <w:b w:val="0"/>
                      <w:bCs/>
                      <w:color w:val="000000"/>
                      <w:sz w:val="21"/>
                      <w:szCs w:val="21"/>
                      <w:lang w:eastAsia="zh-CN"/>
                    </w:rPr>
                  </w:pPr>
                </w:p>
              </w:tc>
              <w:tc>
                <w:tcPr>
                  <w:tcW w:w="3372"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sz w:val="21"/>
                      <w:szCs w:val="21"/>
                      <w:lang w:eastAsia="zh-CN"/>
                    </w:rPr>
                  </w:pPr>
                  <w:r>
                    <w:rPr>
                      <w:rFonts w:ascii="Times New Roman" w:hAnsi="Times New Roman" w:eastAsia="宋体"/>
                      <w:b w:val="0"/>
                      <w:bCs/>
                      <w:sz w:val="21"/>
                      <w:szCs w:val="21"/>
                      <w:lang w:eastAsia="zh-CN"/>
                    </w:rPr>
                    <w:t>电</w:t>
                  </w:r>
                </w:p>
              </w:tc>
              <w:tc>
                <w:tcPr>
                  <w:tcW w:w="3715" w:type="dxa"/>
                  <w:tcBorders>
                    <w:tl2br w:val="nil"/>
                    <w:tr2bl w:val="nil"/>
                  </w:tcBorders>
                  <w:vAlign w:val="center"/>
                </w:tcPr>
                <w:p>
                  <w:pPr>
                    <w:pStyle w:val="9"/>
                    <w:spacing w:before="31" w:beforeLines="10" w:after="31" w:afterLines="10" w:line="288" w:lineRule="auto"/>
                    <w:jc w:val="center"/>
                    <w:rPr>
                      <w:rFonts w:ascii="Times New Roman" w:hAnsi="Times New Roman" w:eastAsia="宋体"/>
                      <w:b w:val="0"/>
                      <w:bCs/>
                      <w:color w:val="FF0000"/>
                      <w:sz w:val="21"/>
                      <w:szCs w:val="21"/>
                      <w:lang w:eastAsia="zh-CN"/>
                    </w:rPr>
                  </w:pPr>
                  <w:r>
                    <w:rPr>
                      <w:rFonts w:hint="eastAsia" w:ascii="Times New Roman" w:hAnsi="Times New Roman" w:eastAsia="宋体"/>
                      <w:b w:val="0"/>
                      <w:bCs/>
                      <w:color w:val="000000"/>
                      <w:sz w:val="21"/>
                      <w:szCs w:val="21"/>
                      <w:lang w:eastAsia="zh-CN"/>
                    </w:rPr>
                    <w:t>2</w:t>
                  </w:r>
                  <w:r>
                    <w:rPr>
                      <w:rFonts w:ascii="Times New Roman" w:hAnsi="Times New Roman" w:eastAsia="宋体"/>
                      <w:b w:val="0"/>
                      <w:bCs/>
                      <w:color w:val="000000"/>
                      <w:sz w:val="21"/>
                      <w:szCs w:val="21"/>
                      <w:lang w:eastAsia="zh-CN"/>
                    </w:rPr>
                    <w:t>万 kW·h</w:t>
                  </w:r>
                </w:p>
              </w:tc>
            </w:tr>
          </w:tbl>
          <w:p>
            <w:pPr>
              <w:adjustRightInd w:val="0"/>
              <w:snapToGrid w:val="0"/>
              <w:spacing w:line="520" w:lineRule="exact"/>
              <w:jc w:val="left"/>
              <w:rPr>
                <w:rFonts w:ascii="Times New Roman" w:hAnsi="Times New Roman" w:cs="Times New Roman"/>
                <w:b/>
                <w:bCs/>
                <w:sz w:val="24"/>
                <w:szCs w:val="24"/>
              </w:rPr>
            </w:pPr>
            <w:r>
              <w:rPr>
                <w:rFonts w:hint="eastAsia" w:ascii="Times New Roman" w:hAnsi="Times New Roman" w:cs="Times New Roman"/>
                <w:b/>
                <w:bCs/>
                <w:sz w:val="24"/>
              </w:rPr>
              <w:t>3. 现</w:t>
            </w:r>
            <w:r>
              <w:rPr>
                <w:rFonts w:ascii="Times New Roman" w:hAnsi="Times New Roman" w:cs="Times New Roman"/>
                <w:b/>
                <w:bCs/>
                <w:sz w:val="24"/>
                <w:szCs w:val="24"/>
              </w:rPr>
              <w:t>有</w:t>
            </w:r>
            <w:r>
              <w:rPr>
                <w:rFonts w:hint="eastAsia" w:ascii="Times New Roman" w:hAnsi="Times New Roman" w:cs="Times New Roman"/>
                <w:b/>
                <w:bCs/>
                <w:sz w:val="24"/>
                <w:szCs w:val="24"/>
              </w:rPr>
              <w:t>项目</w:t>
            </w:r>
            <w:r>
              <w:rPr>
                <w:rFonts w:ascii="Times New Roman" w:hAnsi="Times New Roman" w:cs="Times New Roman"/>
                <w:b/>
                <w:bCs/>
                <w:sz w:val="24"/>
                <w:szCs w:val="24"/>
              </w:rPr>
              <w:t>主要</w:t>
            </w:r>
            <w:r>
              <w:rPr>
                <w:rFonts w:hint="eastAsia" w:ascii="Times New Roman" w:hAnsi="Times New Roman" w:cs="Times New Roman"/>
                <w:b/>
                <w:bCs/>
                <w:sz w:val="24"/>
                <w:szCs w:val="24"/>
              </w:rPr>
              <w:t>设备</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15</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现有项目</w:t>
            </w:r>
            <w:r>
              <w:rPr>
                <w:rFonts w:ascii="Times New Roman" w:hAnsi="Times New Roman" w:cs="Times New Roman"/>
                <w:b/>
                <w:bCs/>
                <w:sz w:val="22"/>
                <w:szCs w:val="22"/>
              </w:rPr>
              <w:t>主要</w:t>
            </w:r>
            <w:r>
              <w:rPr>
                <w:rFonts w:hint="eastAsia" w:ascii="Times New Roman" w:hAnsi="Times New Roman" w:cs="Times New Roman"/>
                <w:b/>
                <w:bCs/>
                <w:sz w:val="22"/>
                <w:szCs w:val="22"/>
              </w:rPr>
              <w:t>设备</w:t>
            </w:r>
            <w:r>
              <w:rPr>
                <w:rFonts w:ascii="Times New Roman" w:hAnsi="Times New Roman" w:cs="Times New Roman"/>
                <w:b/>
                <w:bCs/>
                <w:sz w:val="22"/>
                <w:szCs w:val="22"/>
              </w:rPr>
              <w:t>一览表</w:t>
            </w:r>
          </w:p>
          <w:tbl>
            <w:tblPr>
              <w:tblStyle w:val="28"/>
              <w:tblW w:w="89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3372"/>
              <w:gridCol w:w="3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861" w:type="dxa"/>
                  <w:tcBorders>
                    <w:tl2br w:val="nil"/>
                    <w:tr2bl w:val="nil"/>
                  </w:tcBorders>
                  <w:vAlign w:val="center"/>
                </w:tcPr>
                <w:p>
                  <w:pPr>
                    <w:pStyle w:val="9"/>
                    <w:spacing w:line="288" w:lineRule="auto"/>
                    <w:jc w:val="center"/>
                    <w:rPr>
                      <w:rFonts w:ascii="Times New Roman" w:hAnsi="Times New Roman" w:eastAsia="宋体"/>
                      <w:sz w:val="21"/>
                      <w:szCs w:val="21"/>
                      <w:lang w:eastAsia="zh-CN"/>
                    </w:rPr>
                  </w:pPr>
                  <w:r>
                    <w:rPr>
                      <w:rFonts w:hint="eastAsia" w:ascii="Times New Roman" w:hAnsi="Times New Roman" w:eastAsia="宋体"/>
                      <w:sz w:val="21"/>
                      <w:szCs w:val="21"/>
                      <w:lang w:eastAsia="zh-CN"/>
                    </w:rPr>
                    <w:t>序号</w:t>
                  </w:r>
                </w:p>
              </w:tc>
              <w:tc>
                <w:tcPr>
                  <w:tcW w:w="3372" w:type="dxa"/>
                  <w:tcBorders>
                    <w:tl2br w:val="nil"/>
                    <w:tr2bl w:val="nil"/>
                  </w:tcBorders>
                  <w:vAlign w:val="center"/>
                </w:tcPr>
                <w:p>
                  <w:pPr>
                    <w:pStyle w:val="9"/>
                    <w:spacing w:line="288" w:lineRule="auto"/>
                    <w:jc w:val="center"/>
                    <w:rPr>
                      <w:rFonts w:ascii="Times New Roman" w:hAnsi="Times New Roman" w:eastAsia="宋体"/>
                      <w:sz w:val="21"/>
                      <w:szCs w:val="21"/>
                      <w:lang w:eastAsia="zh-CN"/>
                    </w:rPr>
                  </w:pPr>
                  <w:r>
                    <w:rPr>
                      <w:rFonts w:ascii="Times New Roman" w:hAnsi="Times New Roman" w:eastAsia="宋体"/>
                      <w:sz w:val="21"/>
                      <w:szCs w:val="21"/>
                      <w:lang w:eastAsia="zh-CN"/>
                    </w:rPr>
                    <w:t>名称</w:t>
                  </w:r>
                </w:p>
              </w:tc>
              <w:tc>
                <w:tcPr>
                  <w:tcW w:w="3715" w:type="dxa"/>
                  <w:tcBorders>
                    <w:tl2br w:val="nil"/>
                    <w:tr2bl w:val="nil"/>
                  </w:tcBorders>
                  <w:vAlign w:val="center"/>
                </w:tcPr>
                <w:p>
                  <w:pPr>
                    <w:pStyle w:val="9"/>
                    <w:spacing w:line="288" w:lineRule="auto"/>
                    <w:jc w:val="center"/>
                    <w:rPr>
                      <w:rFonts w:ascii="Times New Roman" w:hAnsi="Times New Roman" w:eastAsia="宋体"/>
                      <w:sz w:val="21"/>
                      <w:szCs w:val="21"/>
                      <w:lang w:eastAsia="zh-CN"/>
                    </w:rPr>
                  </w:pPr>
                  <w:r>
                    <w:rPr>
                      <w:rFonts w:hint="eastAsia" w:ascii="Times New Roman" w:hAnsi="Times New Roman" w:eastAsia="宋体"/>
                      <w:sz w:val="21"/>
                      <w:szCs w:val="21"/>
                      <w:lang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1" w:type="dxa"/>
                  <w:tcBorders>
                    <w:tl2br w:val="nil"/>
                    <w:tr2bl w:val="nil"/>
                  </w:tcBorders>
                  <w:vAlign w:val="center"/>
                </w:tcPr>
                <w:p>
                  <w:pPr>
                    <w:pStyle w:val="9"/>
                    <w:spacing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1</w:t>
                  </w:r>
                </w:p>
              </w:tc>
              <w:tc>
                <w:tcPr>
                  <w:tcW w:w="3372" w:type="dxa"/>
                  <w:tcBorders>
                    <w:tl2br w:val="nil"/>
                    <w:tr2bl w:val="nil"/>
                  </w:tcBorders>
                  <w:vAlign w:val="center"/>
                </w:tcPr>
                <w:p>
                  <w:pPr>
                    <w:pStyle w:val="9"/>
                    <w:spacing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卷板机</w:t>
                  </w:r>
                </w:p>
              </w:tc>
              <w:tc>
                <w:tcPr>
                  <w:tcW w:w="3715" w:type="dxa"/>
                  <w:tcBorders>
                    <w:tl2br w:val="nil"/>
                    <w:tr2bl w:val="nil"/>
                  </w:tcBorders>
                  <w:vAlign w:val="center"/>
                </w:tcPr>
                <w:p>
                  <w:pPr>
                    <w:pStyle w:val="9"/>
                    <w:spacing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1" w:type="dxa"/>
                  <w:tcBorders>
                    <w:tl2br w:val="nil"/>
                    <w:tr2bl w:val="nil"/>
                  </w:tcBorders>
                  <w:vAlign w:val="center"/>
                </w:tcPr>
                <w:p>
                  <w:pPr>
                    <w:pStyle w:val="9"/>
                    <w:spacing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2</w:t>
                  </w:r>
                </w:p>
              </w:tc>
              <w:tc>
                <w:tcPr>
                  <w:tcW w:w="3372" w:type="dxa"/>
                  <w:tcBorders>
                    <w:tl2br w:val="nil"/>
                    <w:tr2bl w:val="nil"/>
                  </w:tcBorders>
                  <w:vAlign w:val="center"/>
                </w:tcPr>
                <w:p>
                  <w:pPr>
                    <w:pStyle w:val="9"/>
                    <w:spacing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钻床</w:t>
                  </w:r>
                </w:p>
              </w:tc>
              <w:tc>
                <w:tcPr>
                  <w:tcW w:w="3715" w:type="dxa"/>
                  <w:tcBorders>
                    <w:tl2br w:val="nil"/>
                    <w:tr2bl w:val="nil"/>
                  </w:tcBorders>
                  <w:vAlign w:val="center"/>
                </w:tcPr>
                <w:p>
                  <w:pPr>
                    <w:pStyle w:val="9"/>
                    <w:spacing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861" w:type="dxa"/>
                  <w:tcBorders>
                    <w:tl2br w:val="nil"/>
                    <w:tr2bl w:val="nil"/>
                  </w:tcBorders>
                  <w:vAlign w:val="center"/>
                </w:tcPr>
                <w:p>
                  <w:pPr>
                    <w:pStyle w:val="9"/>
                    <w:spacing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3</w:t>
                  </w:r>
                </w:p>
              </w:tc>
              <w:tc>
                <w:tcPr>
                  <w:tcW w:w="3372" w:type="dxa"/>
                  <w:tcBorders>
                    <w:tl2br w:val="nil"/>
                    <w:tr2bl w:val="nil"/>
                  </w:tcBorders>
                  <w:vAlign w:val="center"/>
                </w:tcPr>
                <w:p>
                  <w:pPr>
                    <w:pStyle w:val="9"/>
                    <w:spacing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电焊机</w:t>
                  </w:r>
                </w:p>
              </w:tc>
              <w:tc>
                <w:tcPr>
                  <w:tcW w:w="3715" w:type="dxa"/>
                  <w:tcBorders>
                    <w:tl2br w:val="nil"/>
                    <w:tr2bl w:val="nil"/>
                  </w:tcBorders>
                  <w:vAlign w:val="center"/>
                </w:tcPr>
                <w:p>
                  <w:pPr>
                    <w:pStyle w:val="9"/>
                    <w:spacing w:line="288" w:lineRule="auto"/>
                    <w:jc w:val="center"/>
                    <w:rPr>
                      <w:rFonts w:ascii="Times New Roman" w:hAnsi="Times New Roman" w:eastAsia="宋体"/>
                      <w:b w:val="0"/>
                      <w:bCs/>
                      <w:sz w:val="21"/>
                      <w:szCs w:val="21"/>
                      <w:lang w:eastAsia="zh-CN"/>
                    </w:rPr>
                  </w:pPr>
                  <w:r>
                    <w:rPr>
                      <w:rFonts w:hint="eastAsia" w:ascii="Times New Roman" w:hAnsi="Times New Roman" w:eastAsia="宋体"/>
                      <w:b w:val="0"/>
                      <w:bCs/>
                      <w:sz w:val="21"/>
                      <w:szCs w:val="21"/>
                      <w:lang w:eastAsia="zh-CN"/>
                    </w:rPr>
                    <w:t>2台</w:t>
                  </w:r>
                </w:p>
              </w:tc>
            </w:tr>
          </w:tbl>
          <w:p>
            <w:pPr>
              <w:adjustRightInd w:val="0"/>
              <w:snapToGrid w:val="0"/>
              <w:spacing w:line="520" w:lineRule="exact"/>
              <w:jc w:val="left"/>
              <w:rPr>
                <w:rFonts w:ascii="Times New Roman" w:hAnsi="Times New Roman" w:cs="Times New Roman"/>
                <w:b/>
                <w:bCs/>
                <w:sz w:val="24"/>
                <w:szCs w:val="24"/>
              </w:rPr>
            </w:pPr>
            <w:r>
              <w:rPr>
                <w:rFonts w:hint="eastAsia" w:ascii="Times New Roman" w:hAnsi="Times New Roman" w:cs="Times New Roman"/>
                <w:b/>
                <w:bCs/>
                <w:sz w:val="24"/>
              </w:rPr>
              <w:t>4. 现</w:t>
            </w:r>
            <w:r>
              <w:rPr>
                <w:rFonts w:ascii="Times New Roman" w:hAnsi="Times New Roman" w:cs="Times New Roman"/>
                <w:b/>
                <w:bCs/>
                <w:sz w:val="24"/>
                <w:szCs w:val="24"/>
              </w:rPr>
              <w:t>有</w:t>
            </w:r>
            <w:r>
              <w:rPr>
                <w:rFonts w:hint="eastAsia" w:ascii="Times New Roman" w:hAnsi="Times New Roman" w:cs="Times New Roman"/>
                <w:b/>
                <w:bCs/>
                <w:sz w:val="24"/>
                <w:szCs w:val="24"/>
              </w:rPr>
              <w:t>项目环评及验收情况</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（1）现有项目环评要求：</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废水：项目无生产废水，生活污水排放量为1.1t/d，废水用于绿化，地面保湿不外排。</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废气：项目无生产废气。</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噪声：项目噪声主要来自卷板机和钻床，通过厂房隔音和距离衰减。</w:t>
            </w:r>
            <w:r>
              <w:rPr>
                <w:rFonts w:ascii="Times New Roman" w:hAnsi="Times New Roman" w:cs="Times New Roman"/>
                <w:color w:val="000000"/>
                <w:sz w:val="24"/>
                <w:szCs w:val="24"/>
              </w:rPr>
              <w:t>噪声能满足《工业企业厂界环境噪声排放标准》（GB12348-</w:t>
            </w:r>
            <w:r>
              <w:rPr>
                <w:rFonts w:hint="eastAsia" w:ascii="Times New Roman" w:hAnsi="Times New Roman" w:cs="Times New Roman"/>
                <w:color w:val="000000"/>
                <w:sz w:val="24"/>
                <w:szCs w:val="24"/>
              </w:rPr>
              <w:t>1990</w:t>
            </w:r>
            <w:r>
              <w:rPr>
                <w:rFonts w:ascii="Times New Roman" w:hAnsi="Times New Roman" w:cs="Times New Roman"/>
                <w:color w:val="000000"/>
                <w:sz w:val="24"/>
                <w:szCs w:val="24"/>
              </w:rPr>
              <w:t>）</w:t>
            </w:r>
            <w:r>
              <w:rPr>
                <w:rFonts w:hint="eastAsia" w:ascii="Times New Roman" w:hAnsi="Times New Roman" w:cs="Times New Roman"/>
                <w:color w:val="000000"/>
                <w:sz w:val="24"/>
                <w:szCs w:val="24"/>
              </w:rPr>
              <w:t>2类</w:t>
            </w:r>
            <w:r>
              <w:rPr>
                <w:rFonts w:ascii="Times New Roman" w:hAnsi="Times New Roman" w:cs="Times New Roman"/>
                <w:color w:val="000000"/>
                <w:sz w:val="24"/>
                <w:szCs w:val="24"/>
              </w:rPr>
              <w:t>昼间</w:t>
            </w:r>
            <w:r>
              <w:rPr>
                <w:rFonts w:hint="eastAsia" w:ascii="Times New Roman" w:hAnsi="Times New Roman" w:cs="Times New Roman"/>
                <w:color w:val="000000"/>
                <w:sz w:val="24"/>
                <w:szCs w:val="24"/>
              </w:rPr>
              <w:t>60dB</w:t>
            </w:r>
            <w:r>
              <w:rPr>
                <w:rFonts w:ascii="Times New Roman" w:hAnsi="Times New Roman" w:cs="Times New Roman"/>
                <w:color w:val="000000"/>
                <w:sz w:val="24"/>
                <w:szCs w:val="24"/>
              </w:rPr>
              <w:t>(A)标准的要求</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固废：项目固废产生于组装工段产生的碎铜丝，产生量为0.7t/a，收集后再次利用出售。</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（2）现有项目验收情况：</w:t>
            </w:r>
          </w:p>
          <w:p>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废水</w:t>
            </w:r>
            <w:r>
              <w:rPr>
                <w:rFonts w:hint="eastAsia" w:ascii="Times New Roman" w:hAnsi="Times New Roman" w:cs="Times New Roman"/>
                <w:sz w:val="24"/>
              </w:rPr>
              <w:t>：项目无生产废水，生活污水排入园区污水管网。</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废气：对原有工艺中切割、打磨产生的颗粒物无组织排放未做要求也未进行验收监测。</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噪声：通过厂房隔声和距离衰减，验收期间，噪声</w:t>
            </w:r>
            <w:r>
              <w:rPr>
                <w:rFonts w:hint="eastAsia" w:ascii="Times New Roman" w:hAnsi="Times New Roman" w:cs="Times New Roman"/>
                <w:color w:val="000000"/>
                <w:sz w:val="24"/>
                <w:szCs w:val="24"/>
              </w:rPr>
              <w:t>能满足《工业企业厂界环境噪声排放标准》（</w:t>
            </w:r>
            <w:r>
              <w:rPr>
                <w:rFonts w:ascii="Times New Roman" w:hAnsi="Times New Roman" w:cs="Times New Roman"/>
                <w:color w:val="000000"/>
                <w:sz w:val="24"/>
                <w:szCs w:val="24"/>
              </w:rPr>
              <w:t>GB12348-2008</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2</w:t>
            </w:r>
            <w:r>
              <w:rPr>
                <w:rFonts w:hint="eastAsia" w:ascii="Times New Roman" w:hAnsi="Times New Roman" w:cs="Times New Roman"/>
                <w:color w:val="000000"/>
                <w:sz w:val="24"/>
                <w:szCs w:val="24"/>
              </w:rPr>
              <w:t>类昼间</w:t>
            </w:r>
            <w:r>
              <w:rPr>
                <w:rFonts w:ascii="Times New Roman" w:hAnsi="Times New Roman" w:cs="Times New Roman"/>
                <w:color w:val="000000"/>
                <w:sz w:val="24"/>
                <w:szCs w:val="24"/>
              </w:rPr>
              <w:t>60dB(A)</w:t>
            </w:r>
            <w:r>
              <w:rPr>
                <w:rFonts w:hint="eastAsia" w:ascii="Times New Roman" w:hAnsi="Times New Roman" w:cs="Times New Roman"/>
                <w:color w:val="000000"/>
                <w:sz w:val="24"/>
                <w:szCs w:val="24"/>
              </w:rPr>
              <w:t>标准的要求。</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固废：验收期间，固废全部得以利用。</w:t>
            </w:r>
          </w:p>
          <w:p>
            <w:pPr>
              <w:adjustRightInd w:val="0"/>
              <w:snapToGrid w:val="0"/>
              <w:spacing w:before="93" w:beforeLines="30" w:after="62" w:afterLines="20" w:line="360" w:lineRule="auto"/>
              <w:jc w:val="left"/>
              <w:rPr>
                <w:rFonts w:ascii="Times New Roman" w:hAnsi="Times New Roman" w:cs="Times New Roman"/>
                <w:b/>
                <w:bCs/>
                <w:sz w:val="24"/>
                <w:szCs w:val="24"/>
              </w:rPr>
            </w:pPr>
            <w:r>
              <w:rPr>
                <w:rFonts w:hint="eastAsia" w:ascii="Times New Roman" w:hAnsi="Times New Roman" w:cs="Times New Roman"/>
                <w:b/>
                <w:bCs/>
                <w:sz w:val="24"/>
              </w:rPr>
              <w:t>5. 现</w:t>
            </w:r>
            <w:r>
              <w:rPr>
                <w:rFonts w:ascii="Times New Roman" w:hAnsi="Times New Roman" w:cs="Times New Roman"/>
                <w:b/>
                <w:bCs/>
                <w:sz w:val="24"/>
                <w:szCs w:val="24"/>
              </w:rPr>
              <w:t>有</w:t>
            </w:r>
            <w:r>
              <w:rPr>
                <w:rFonts w:hint="eastAsia" w:ascii="Times New Roman" w:hAnsi="Times New Roman" w:cs="Times New Roman"/>
                <w:b/>
                <w:bCs/>
                <w:sz w:val="24"/>
                <w:szCs w:val="24"/>
              </w:rPr>
              <w:t>项目补充监测及污染物排放现状</w:t>
            </w:r>
          </w:p>
          <w:p>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由于验收</w:t>
            </w:r>
            <w:r>
              <w:rPr>
                <w:rFonts w:hint="eastAsia" w:ascii="Times New Roman" w:hAnsi="Times New Roman" w:cs="Times New Roman"/>
                <w:sz w:val="24"/>
              </w:rPr>
              <w:t>时间为2012年，间隔较长且验收期间未对所有污染项目进行验收监测，因此，我公司于2020年3月6-7日委托河南鼎泰检测技术有限公司对项目所在地进行补充现状监测。（监测报告见附件5）</w:t>
            </w:r>
          </w:p>
          <w:p>
            <w:pPr>
              <w:widowControl/>
              <w:adjustRightInd w:val="0"/>
              <w:snapToGrid w:val="0"/>
              <w:spacing w:line="360" w:lineRule="auto"/>
              <w:ind w:firstLine="480" w:firstLineChars="200"/>
              <w:jc w:val="left"/>
              <w:rPr>
                <w:rFonts w:ascii="Times New Roman" w:hAnsi="Times New Roman" w:cs="Times New Roman"/>
                <w:sz w:val="24"/>
              </w:rPr>
            </w:pPr>
            <w:r>
              <w:rPr>
                <w:rFonts w:ascii="Times New Roman" w:hAnsi="Times New Roman" w:cs="Times New Roman"/>
                <w:sz w:val="24"/>
              </w:rPr>
              <w:t>（1）废水</w:t>
            </w:r>
            <w:r>
              <w:rPr>
                <w:rFonts w:hint="eastAsia" w:ascii="Times New Roman" w:hAnsi="Times New Roman" w:cs="Times New Roman"/>
                <w:sz w:val="24"/>
              </w:rPr>
              <w:t>补充监测结果及排放现状</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kern w:val="0"/>
                <w:sz w:val="24"/>
                <w:szCs w:val="24"/>
              </w:rPr>
              <w:t>原环评无生产废水，生活污水不外排，但项目验收至今生活污水实际为</w:t>
            </w:r>
            <w:r>
              <w:rPr>
                <w:rFonts w:hint="eastAsia" w:ascii="Times New Roman" w:hAnsi="Times New Roman" w:cs="Times New Roman"/>
                <w:sz w:val="24"/>
                <w:szCs w:val="24"/>
              </w:rPr>
              <w:t>经化粪池处理后排至污水管网并</w:t>
            </w:r>
            <w:r>
              <w:rPr>
                <w:rFonts w:hint="eastAsia" w:ascii="Times New Roman" w:hAnsi="Times New Roman" w:cs="Times New Roman"/>
                <w:sz w:val="24"/>
              </w:rPr>
              <w:t>进入</w:t>
            </w:r>
            <w:r>
              <w:rPr>
                <w:rFonts w:ascii="Times New Roman" w:hAnsi="Times New Roman" w:cs="Times New Roman"/>
                <w:sz w:val="24"/>
              </w:rPr>
              <w:t>小店污水处理厂</w:t>
            </w:r>
            <w:r>
              <w:rPr>
                <w:rFonts w:hint="eastAsia" w:ascii="Times New Roman" w:hAnsi="Times New Roman" w:cs="Times New Roman"/>
                <w:sz w:val="24"/>
              </w:rPr>
              <w:t>二期</w:t>
            </w:r>
            <w:r>
              <w:rPr>
                <w:rFonts w:ascii="Times New Roman" w:hAnsi="Times New Roman" w:cs="Times New Roman"/>
                <w:sz w:val="24"/>
              </w:rPr>
              <w:t>进一步处理。根据</w:t>
            </w:r>
            <w:r>
              <w:rPr>
                <w:rFonts w:hint="eastAsia" w:ascii="Times New Roman" w:hAnsi="Times New Roman" w:cs="Times New Roman"/>
                <w:sz w:val="24"/>
              </w:rPr>
              <w:t>补充现状</w:t>
            </w:r>
            <w:r>
              <w:rPr>
                <w:rFonts w:ascii="Times New Roman" w:hAnsi="Times New Roman" w:cs="Times New Roman"/>
                <w:sz w:val="24"/>
              </w:rPr>
              <w:t xml:space="preserve">监测报告，废水污染物排放浓度分别为COD </w:t>
            </w:r>
            <w:r>
              <w:rPr>
                <w:rFonts w:hint="eastAsia" w:ascii="Times New Roman" w:hAnsi="Times New Roman" w:cs="Times New Roman"/>
                <w:sz w:val="24"/>
              </w:rPr>
              <w:t>85-104</w:t>
            </w:r>
            <w:r>
              <w:rPr>
                <w:rFonts w:ascii="Times New Roman" w:hAnsi="Times New Roman" w:cs="Times New Roman"/>
                <w:sz w:val="24"/>
              </w:rPr>
              <w:t xml:space="preserve">mg/L；NH3-N </w:t>
            </w:r>
            <w:r>
              <w:rPr>
                <w:rFonts w:hint="eastAsia" w:ascii="Times New Roman" w:hAnsi="Times New Roman" w:cs="Times New Roman"/>
                <w:sz w:val="24"/>
              </w:rPr>
              <w:t>4.18-4.53</w:t>
            </w:r>
            <w:r>
              <w:rPr>
                <w:rFonts w:ascii="Times New Roman" w:hAnsi="Times New Roman" w:cs="Times New Roman"/>
                <w:sz w:val="24"/>
              </w:rPr>
              <w:t>mg/L；SS</w:t>
            </w:r>
            <w:r>
              <w:rPr>
                <w:rFonts w:hint="eastAsia" w:ascii="Times New Roman" w:hAnsi="Times New Roman" w:cs="Times New Roman"/>
                <w:sz w:val="24"/>
              </w:rPr>
              <w:t xml:space="preserve"> 71</w:t>
            </w:r>
            <w:r>
              <w:rPr>
                <w:rFonts w:ascii="Times New Roman" w:hAnsi="Times New Roman" w:cs="Times New Roman"/>
                <w:sz w:val="24"/>
              </w:rPr>
              <w:t>~82mg/L</w:t>
            </w:r>
            <w:r>
              <w:rPr>
                <w:rFonts w:hint="eastAsia" w:ascii="Times New Roman" w:hAnsi="Times New Roman" w:cs="Times New Roman"/>
                <w:sz w:val="24"/>
              </w:rPr>
              <w:t>；</w:t>
            </w:r>
            <w:r>
              <w:rPr>
                <w:rFonts w:ascii="Times New Roman" w:hAnsi="Times New Roman" w:cs="Times New Roman"/>
                <w:sz w:val="24"/>
              </w:rPr>
              <w:t>出水水质满足小店污水处理厂</w:t>
            </w:r>
            <w:r>
              <w:rPr>
                <w:rFonts w:hint="eastAsia" w:ascii="Times New Roman" w:hAnsi="Times New Roman" w:cs="Times New Roman"/>
                <w:sz w:val="24"/>
              </w:rPr>
              <w:t>二期入水</w:t>
            </w:r>
            <w:r>
              <w:rPr>
                <w:rFonts w:ascii="Times New Roman" w:hAnsi="Times New Roman" w:cs="Times New Roman"/>
                <w:sz w:val="24"/>
              </w:rPr>
              <w:t>标准（COD 3</w:t>
            </w:r>
            <w:r>
              <w:rPr>
                <w:rFonts w:hint="eastAsia" w:ascii="Times New Roman" w:hAnsi="Times New Roman" w:cs="Times New Roman"/>
                <w:sz w:val="24"/>
              </w:rPr>
              <w:t>5</w:t>
            </w:r>
            <w:r>
              <w:rPr>
                <w:rFonts w:ascii="Times New Roman" w:hAnsi="Times New Roman" w:cs="Times New Roman"/>
                <w:sz w:val="24"/>
              </w:rPr>
              <w:t>0mg/L、NH3-N 30mg/L，SS</w:t>
            </w:r>
            <w:r>
              <w:rPr>
                <w:rFonts w:hint="eastAsia" w:ascii="Times New Roman" w:hAnsi="Times New Roman" w:cs="Times New Roman"/>
                <w:sz w:val="24"/>
              </w:rPr>
              <w:t>2</w:t>
            </w:r>
            <w:r>
              <w:rPr>
                <w:rFonts w:ascii="Times New Roman" w:hAnsi="Times New Roman" w:cs="Times New Roman"/>
                <w:sz w:val="24"/>
              </w:rPr>
              <w:t>80 mg/L）。</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现有项目验收期间废水排放量为1.1 t /d，则年废水排放量为330 t/a。但实际项目生活用水量较少且不稳定，现进行拟排放量核算。</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已知现有项目员工5人，工人日常生活用水定额为50L/人·天，</w:t>
            </w:r>
            <w:r>
              <w:rPr>
                <w:rFonts w:ascii="Times New Roman" w:hAnsi="Times New Roman" w:cs="Times New Roman"/>
                <w:kern w:val="0"/>
                <w:sz w:val="24"/>
                <w:szCs w:val="24"/>
              </w:rPr>
              <w:t>则</w:t>
            </w:r>
            <w:r>
              <w:rPr>
                <w:rFonts w:hint="eastAsia" w:ascii="Times New Roman" w:hAnsi="Times New Roman" w:cs="Times New Roman"/>
                <w:kern w:val="0"/>
                <w:sz w:val="24"/>
                <w:szCs w:val="24"/>
              </w:rPr>
              <w:t>现有</w:t>
            </w:r>
            <w:r>
              <w:rPr>
                <w:rFonts w:ascii="Times New Roman" w:hAnsi="Times New Roman" w:cs="Times New Roman"/>
                <w:kern w:val="0"/>
                <w:sz w:val="24"/>
                <w:szCs w:val="24"/>
              </w:rPr>
              <w:t>项目</w:t>
            </w:r>
            <w:r>
              <w:rPr>
                <w:rFonts w:hint="eastAsia" w:ascii="Times New Roman" w:hAnsi="Times New Roman" w:cs="Times New Roman"/>
                <w:kern w:val="0"/>
                <w:sz w:val="24"/>
                <w:szCs w:val="24"/>
              </w:rPr>
              <w:t>年生活用水</w:t>
            </w:r>
            <w:r>
              <w:rPr>
                <w:rFonts w:ascii="Times New Roman" w:hAnsi="Times New Roman" w:cs="Times New Roman"/>
                <w:kern w:val="0"/>
                <w:sz w:val="24"/>
                <w:szCs w:val="24"/>
              </w:rPr>
              <w:t>量为</w:t>
            </w:r>
            <w:r>
              <w:rPr>
                <w:rFonts w:hint="eastAsia" w:ascii="Times New Roman" w:hAnsi="Times New Roman" w:cs="Times New Roman"/>
                <w:kern w:val="0"/>
                <w:sz w:val="24"/>
                <w:szCs w:val="24"/>
              </w:rPr>
              <w:t>75 t</w:t>
            </w:r>
            <w:r>
              <w:rPr>
                <w:rFonts w:ascii="Times New Roman" w:hAnsi="Times New Roman" w:cs="Times New Roman"/>
                <w:kern w:val="0"/>
                <w:sz w:val="24"/>
                <w:szCs w:val="24"/>
              </w:rPr>
              <w:t>，</w:t>
            </w:r>
            <w:r>
              <w:rPr>
                <w:rFonts w:hint="eastAsia" w:ascii="Times New Roman" w:hAnsi="Times New Roman" w:cs="Times New Roman"/>
                <w:sz w:val="24"/>
              </w:rPr>
              <w:t>设</w:t>
            </w:r>
            <w:r>
              <w:rPr>
                <w:rFonts w:ascii="Times New Roman" w:hAnsi="Times New Roman" w:cs="Times New Roman"/>
                <w:kern w:val="0"/>
                <w:sz w:val="24"/>
                <w:szCs w:val="24"/>
              </w:rPr>
              <w:t>生活污水排放系数</w:t>
            </w:r>
            <w:r>
              <w:rPr>
                <w:rFonts w:hint="eastAsia" w:ascii="Times New Roman" w:hAnsi="Times New Roman" w:cs="Times New Roman"/>
                <w:kern w:val="0"/>
                <w:sz w:val="24"/>
                <w:szCs w:val="24"/>
              </w:rPr>
              <w:t>为</w:t>
            </w:r>
            <w:r>
              <w:rPr>
                <w:rFonts w:ascii="Times New Roman" w:hAnsi="Times New Roman" w:cs="Times New Roman"/>
                <w:kern w:val="0"/>
                <w:sz w:val="24"/>
                <w:szCs w:val="24"/>
              </w:rPr>
              <w:t>0.8，</w:t>
            </w:r>
            <w:r>
              <w:rPr>
                <w:rFonts w:hint="eastAsia" w:ascii="Times New Roman" w:hAnsi="Times New Roman" w:cs="Times New Roman"/>
                <w:kern w:val="0"/>
                <w:sz w:val="24"/>
                <w:szCs w:val="24"/>
              </w:rPr>
              <w:t>则年废水排放量为60 t。生活污水</w:t>
            </w:r>
            <w:r>
              <w:rPr>
                <w:rFonts w:hint="eastAsia" w:ascii="Times New Roman" w:hAnsi="Times New Roman" w:cs="Times New Roman"/>
                <w:sz w:val="24"/>
                <w:szCs w:val="24"/>
              </w:rPr>
              <w:t>经化粪池处理后排至污水管网并</w:t>
            </w:r>
            <w:r>
              <w:rPr>
                <w:rFonts w:hint="eastAsia" w:ascii="Times New Roman" w:hAnsi="Times New Roman" w:cs="Times New Roman"/>
                <w:sz w:val="24"/>
              </w:rPr>
              <w:t>进入</w:t>
            </w:r>
            <w:r>
              <w:rPr>
                <w:rFonts w:ascii="Times New Roman" w:hAnsi="Times New Roman" w:cs="Times New Roman"/>
                <w:sz w:val="24"/>
              </w:rPr>
              <w:t>小店污水处理厂</w:t>
            </w:r>
            <w:r>
              <w:rPr>
                <w:rFonts w:hint="eastAsia" w:ascii="Times New Roman" w:hAnsi="Times New Roman" w:cs="Times New Roman"/>
                <w:sz w:val="24"/>
              </w:rPr>
              <w:t>二期进一步处理，最终排入大沙河。依据污水处理厂出水水质标准，现有项目废水污染物排放量见表16。</w:t>
            </w:r>
          </w:p>
          <w:p>
            <w:pPr>
              <w:pStyle w:val="10"/>
              <w:spacing w:before="93" w:beforeLines="30" w:after="93" w:afterLines="30"/>
              <w:jc w:val="center"/>
              <w:rPr>
                <w:rFonts w:ascii="Times New Roman" w:hAnsi="Times New Roman" w:eastAsia="宋体"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16</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kern w:val="0"/>
                <w:sz w:val="21"/>
                <w:szCs w:val="21"/>
              </w:rPr>
              <w:t>污水处理厂出水水质</w:t>
            </w:r>
            <w:r>
              <w:rPr>
                <w:rFonts w:hint="eastAsia" w:ascii="Times New Roman" w:hAnsi="Times New Roman" w:eastAsia="宋体" w:cs="Times New Roman"/>
                <w:b/>
                <w:bCs/>
                <w:kern w:val="0"/>
                <w:sz w:val="21"/>
                <w:szCs w:val="21"/>
              </w:rPr>
              <w:t>及废水外环境排放量</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6"/>
              <w:gridCol w:w="900"/>
              <w:gridCol w:w="917"/>
              <w:gridCol w:w="1098"/>
              <w:gridCol w:w="1243"/>
              <w:gridCol w:w="1170"/>
              <w:gridCol w:w="1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234"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污染物</w:t>
                  </w:r>
                </w:p>
              </w:tc>
              <w:tc>
                <w:tcPr>
                  <w:tcW w:w="527"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单位</w:t>
                  </w:r>
                </w:p>
              </w:tc>
              <w:tc>
                <w:tcPr>
                  <w:tcW w:w="537"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pH</w:t>
                  </w:r>
                </w:p>
              </w:tc>
              <w:tc>
                <w:tcPr>
                  <w:tcW w:w="643"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SS</w:t>
                  </w:r>
                </w:p>
              </w:tc>
              <w:tc>
                <w:tcPr>
                  <w:tcW w:w="728"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COD</w:t>
                  </w:r>
                  <w:r>
                    <w:rPr>
                      <w:rFonts w:ascii="Times New Roman" w:hAnsi="Times New Roman" w:cs="Times New Roman"/>
                      <w:b/>
                      <w:bCs/>
                      <w:kern w:val="0"/>
                      <w:sz w:val="21"/>
                      <w:szCs w:val="21"/>
                      <w:vertAlign w:val="subscript"/>
                    </w:rPr>
                    <w:t>Cr</w:t>
                  </w:r>
                </w:p>
              </w:tc>
              <w:tc>
                <w:tcPr>
                  <w:tcW w:w="685"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TP</w:t>
                  </w:r>
                </w:p>
              </w:tc>
              <w:tc>
                <w:tcPr>
                  <w:tcW w:w="644"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5000" w:type="pct"/>
                  <w:gridSpan w:val="7"/>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现有项目废水总排放量：60 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4"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现有项目拟排放浓度</w:t>
                  </w:r>
                </w:p>
              </w:tc>
              <w:tc>
                <w:tcPr>
                  <w:tcW w:w="527"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mg/L</w:t>
                  </w:r>
                </w:p>
              </w:tc>
              <w:tc>
                <w:tcPr>
                  <w:tcW w:w="537"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6-9</w:t>
                  </w:r>
                </w:p>
              </w:tc>
              <w:tc>
                <w:tcPr>
                  <w:tcW w:w="643"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250</w:t>
                  </w:r>
                </w:p>
              </w:tc>
              <w:tc>
                <w:tcPr>
                  <w:tcW w:w="728"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300</w:t>
                  </w:r>
                </w:p>
              </w:tc>
              <w:tc>
                <w:tcPr>
                  <w:tcW w:w="685"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w:t>
                  </w:r>
                </w:p>
              </w:tc>
              <w:tc>
                <w:tcPr>
                  <w:tcW w:w="644"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34"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现有项目废水排放量</w:t>
                  </w:r>
                </w:p>
              </w:tc>
              <w:tc>
                <w:tcPr>
                  <w:tcW w:w="527"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t/a</w:t>
                  </w:r>
                </w:p>
              </w:tc>
              <w:tc>
                <w:tcPr>
                  <w:tcW w:w="537"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6-9</w:t>
                  </w:r>
                </w:p>
              </w:tc>
              <w:tc>
                <w:tcPr>
                  <w:tcW w:w="643"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0.015</w:t>
                  </w:r>
                </w:p>
              </w:tc>
              <w:tc>
                <w:tcPr>
                  <w:tcW w:w="728"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0.018</w:t>
                  </w:r>
                </w:p>
              </w:tc>
              <w:tc>
                <w:tcPr>
                  <w:tcW w:w="685"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0.00012</w:t>
                  </w:r>
                </w:p>
              </w:tc>
              <w:tc>
                <w:tcPr>
                  <w:tcW w:w="644"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0.0015</w:t>
                  </w:r>
                </w:p>
              </w:tc>
            </w:tr>
          </w:tbl>
          <w:p>
            <w:pPr>
              <w:widowControl/>
              <w:adjustRightInd w:val="0"/>
              <w:snapToGrid w:val="0"/>
              <w:spacing w:before="156" w:beforeLines="50"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废</w:t>
            </w:r>
            <w:r>
              <w:rPr>
                <w:rFonts w:hint="eastAsia" w:ascii="Times New Roman" w:hAnsi="Times New Roman" w:cs="Times New Roman"/>
                <w:sz w:val="24"/>
              </w:rPr>
              <w:t>气补充监测结果及排放现状</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现有项目运营期间产生的废气主要为焊接、打磨产生的无组织颗粒物，目前焊接烟尘采用移动式焊接烟尘净化器去除。</w:t>
            </w:r>
            <w:r>
              <w:rPr>
                <w:rFonts w:ascii="Times New Roman" w:hAnsi="Times New Roman" w:cs="Times New Roman"/>
                <w:sz w:val="24"/>
              </w:rPr>
              <w:t>根据</w:t>
            </w:r>
            <w:r>
              <w:rPr>
                <w:rFonts w:hint="eastAsia" w:ascii="Times New Roman" w:hAnsi="Times New Roman" w:cs="Times New Roman"/>
                <w:sz w:val="24"/>
              </w:rPr>
              <w:t>补充现状</w:t>
            </w:r>
            <w:r>
              <w:rPr>
                <w:rFonts w:ascii="Times New Roman" w:hAnsi="Times New Roman" w:cs="Times New Roman"/>
                <w:sz w:val="24"/>
              </w:rPr>
              <w:t>监测报告</w:t>
            </w:r>
            <w:r>
              <w:rPr>
                <w:rFonts w:hint="eastAsia" w:ascii="Times New Roman" w:hAnsi="Times New Roman" w:cs="Times New Roman"/>
                <w:sz w:val="24"/>
              </w:rPr>
              <w:t xml:space="preserve">，无组织颗粒物浓度为0.198-0.302 </w:t>
            </w:r>
            <w:r>
              <w:rPr>
                <w:rFonts w:ascii="Times New Roman" w:hAnsi="Times New Roman" w:cs="Times New Roman"/>
                <w:sz w:val="24"/>
              </w:rPr>
              <w:t>mg/</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hint="eastAsia" w:ascii="Times New Roman" w:hAnsi="Times New Roman" w:cs="Times New Roman"/>
                <w:sz w:val="24"/>
              </w:rPr>
              <w:t>。能够达到《大气污染物综合排放标准》(GB16297-1996)表2二级无组织排放限值要求。</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因现有项目建设时间较早，环评及验收缺少对大气污染物排放治理的要求，且采用的移动式焊接烟尘净化器不符合现有环保规定，本扩建项目拟对现有项目废气治理环节进行整改，</w:t>
            </w:r>
            <w:r>
              <w:rPr>
                <w:rFonts w:hint="eastAsia" w:ascii="Times New Roman" w:hAnsi="Times New Roman" w:cs="Times New Roman"/>
                <w:b/>
                <w:bCs/>
                <w:sz w:val="24"/>
                <w:u w:val="single"/>
              </w:rPr>
              <w:t>现有项目焊接、打磨工序与扩建项目焊接、打磨工序共用1个固定工位，工位侧方设1个集气罩收集焊接烟尘和打磨废气，引入1套脉冲式袋式除尘器处理，处理后的尾气最终通过1根15m高排气筒排放。</w:t>
            </w:r>
            <w:r>
              <w:rPr>
                <w:rFonts w:hint="eastAsia" w:ascii="Times New Roman" w:hAnsi="Times New Roman" w:cs="Times New Roman"/>
                <w:sz w:val="24"/>
              </w:rPr>
              <w:t>因此，现有项目废气产生量需补充计算并补充申请排放总量，其对环境的影响应与扩建项目废气产生的环境影响合并预测和评价，待扩建项目建成后，需对现有项目整改情况及全厂进行统一验收。</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（1）焊接烟尘产生量：根据实际情况，现有项目焊接过程中使用焊条0.5</w:t>
            </w:r>
            <w:r>
              <w:rPr>
                <w:rFonts w:hint="eastAsia" w:ascii="Times New Roman" w:hAnsi="Times New Roman" w:cs="Times New Roman"/>
                <w:sz w:val="24"/>
                <w:lang w:val="en-GB"/>
              </w:rPr>
              <w:t xml:space="preserve"> t/a，根据《焊接工作的劳动保护》</w:t>
            </w:r>
            <w:r>
              <w:rPr>
                <w:rFonts w:hint="eastAsia" w:ascii="Times New Roman" w:hAnsi="Times New Roman" w:cs="Times New Roman"/>
                <w:sz w:val="24"/>
              </w:rPr>
              <w:t>数据</w:t>
            </w:r>
            <w:r>
              <w:rPr>
                <w:rFonts w:hint="eastAsia" w:ascii="Times New Roman" w:hAnsi="Times New Roman" w:cs="Times New Roman"/>
                <w:sz w:val="24"/>
                <w:lang w:val="en-GB"/>
              </w:rPr>
              <w:t>，焊条烟尘产生量为8g/kg，</w:t>
            </w:r>
            <w:r>
              <w:rPr>
                <w:rFonts w:hint="eastAsia" w:ascii="Times New Roman" w:hAnsi="Times New Roman" w:cs="Times New Roman"/>
                <w:sz w:val="24"/>
              </w:rPr>
              <w:t>则焊接烟尘产生量为0.004t/a；</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（2）打磨废气产生量：项目焊接后需对其焊缝进行打磨，打磨工序每天工作2h，年工作时间为600h/a。类比同类型机械设备制造项目，打磨过程中颗粒物产生量约为原料用量的0.1%，项目最大下料量为3 t/a，则打磨颗粒物产生量为0.003t/a。</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则现有项目废气产生量见表17。</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17</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现有项目废气产生量</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4071"/>
              <w:gridCol w:w="3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805" w:type="pct"/>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2384" w:type="pct"/>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污染工序</w:t>
                  </w:r>
                </w:p>
              </w:tc>
              <w:tc>
                <w:tcPr>
                  <w:tcW w:w="1810" w:type="pct"/>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2384"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焊接</w:t>
                  </w:r>
                </w:p>
              </w:tc>
              <w:tc>
                <w:tcPr>
                  <w:tcW w:w="1810"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2384"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打磨</w:t>
                  </w:r>
                </w:p>
              </w:tc>
              <w:tc>
                <w:tcPr>
                  <w:tcW w:w="1810"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89" w:type="pct"/>
                  <w:gridSpan w:val="2"/>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合计</w:t>
                  </w:r>
                </w:p>
              </w:tc>
              <w:tc>
                <w:tcPr>
                  <w:tcW w:w="1810"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0.007</w:t>
                  </w:r>
                </w:p>
              </w:tc>
            </w:tr>
          </w:tbl>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现有项目整改后，废气经</w:t>
            </w:r>
            <w:r>
              <w:rPr>
                <w:rFonts w:hint="eastAsia" w:ascii="Times New Roman" w:hAnsi="Times New Roman" w:cs="Times New Roman"/>
                <w:sz w:val="24"/>
              </w:rPr>
              <w:t>集气罩收集后引致脉冲式袋式除尘器治理，尾气与扩建项目净化后的尾气终通过同一根15m高排气筒排放，</w:t>
            </w:r>
            <w:r>
              <w:rPr>
                <w:rFonts w:hint="eastAsia" w:ascii="Times New Roman" w:hAnsi="Times New Roman" w:cs="Times New Roman"/>
                <w:sz w:val="24"/>
                <w:szCs w:val="24"/>
              </w:rPr>
              <w:t>废气治理设施集气效率90%，处理效率90%。则现有项目有组织废气排放量为0.00063 t/a。无组织废气排放量为0.0007 t/a。</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（3）噪声</w:t>
            </w:r>
          </w:p>
          <w:p>
            <w:pPr>
              <w:spacing w:line="360" w:lineRule="auto"/>
              <w:ind w:firstLine="480" w:firstLineChars="200"/>
              <w:rPr>
                <w:rFonts w:ascii="Times New Roman" w:hAnsi="Times New Roman" w:cs="Times New Roman"/>
                <w:b/>
                <w:bCs/>
                <w:sz w:val="24"/>
                <w:szCs w:val="24"/>
              </w:rPr>
            </w:pPr>
            <w:r>
              <w:rPr>
                <w:rFonts w:ascii="Times New Roman" w:hAnsi="Times New Roman" w:cs="Times New Roman"/>
                <w:sz w:val="24"/>
                <w:szCs w:val="24"/>
              </w:rPr>
              <w:t>现有项目的噪声主要来源于设备运行噪声</w:t>
            </w:r>
            <w:r>
              <w:rPr>
                <w:rFonts w:hint="eastAsia" w:ascii="Times New Roman" w:hAnsi="Times New Roman" w:cs="Times New Roman"/>
                <w:sz w:val="24"/>
                <w:szCs w:val="24"/>
              </w:rPr>
              <w:t>，</w:t>
            </w:r>
            <w:r>
              <w:rPr>
                <w:rFonts w:ascii="Times New Roman" w:hAnsi="Times New Roman" w:cs="Times New Roman"/>
                <w:sz w:val="24"/>
                <w:szCs w:val="24"/>
              </w:rPr>
              <w:t>噪声源强约为75-90dB（A），采取的措施为减振、隔声及距离衰减。</w:t>
            </w:r>
            <w:r>
              <w:rPr>
                <w:rFonts w:ascii="Times New Roman" w:hAnsi="Times New Roman" w:cs="Times New Roman"/>
                <w:sz w:val="24"/>
              </w:rPr>
              <w:t>根据</w:t>
            </w:r>
            <w:r>
              <w:rPr>
                <w:rFonts w:hint="eastAsia" w:ascii="Times New Roman" w:hAnsi="Times New Roman" w:cs="Times New Roman"/>
                <w:sz w:val="24"/>
              </w:rPr>
              <w:t>补充现状</w:t>
            </w:r>
            <w:r>
              <w:rPr>
                <w:rFonts w:ascii="Times New Roman" w:hAnsi="Times New Roman" w:cs="Times New Roman"/>
                <w:sz w:val="24"/>
              </w:rPr>
              <w:t>监测报告</w:t>
            </w:r>
            <w:r>
              <w:rPr>
                <w:rFonts w:ascii="Times New Roman" w:hAnsi="Times New Roman" w:cs="Times New Roman"/>
                <w:sz w:val="24"/>
                <w:szCs w:val="24"/>
              </w:rPr>
              <w:t>，项目各厂界昼间噪声值为</w:t>
            </w:r>
            <w:r>
              <w:rPr>
                <w:rFonts w:hint="eastAsia" w:ascii="Times New Roman" w:hAnsi="Times New Roman" w:cs="Times New Roman"/>
                <w:sz w:val="24"/>
                <w:szCs w:val="24"/>
              </w:rPr>
              <w:t>52.1</w:t>
            </w:r>
            <w:r>
              <w:rPr>
                <w:rFonts w:ascii="Times New Roman" w:hAnsi="Times New Roman" w:cs="Times New Roman"/>
                <w:sz w:val="24"/>
                <w:szCs w:val="24"/>
              </w:rPr>
              <w:t>-5</w:t>
            </w:r>
            <w:r>
              <w:rPr>
                <w:rFonts w:hint="eastAsia" w:ascii="Times New Roman" w:hAnsi="Times New Roman" w:cs="Times New Roman"/>
                <w:sz w:val="24"/>
                <w:szCs w:val="24"/>
              </w:rPr>
              <w:t>6</w:t>
            </w:r>
            <w:r>
              <w:rPr>
                <w:rFonts w:ascii="Times New Roman" w:hAnsi="Times New Roman" w:cs="Times New Roman"/>
                <w:sz w:val="24"/>
                <w:szCs w:val="24"/>
              </w:rPr>
              <w:t>.</w:t>
            </w:r>
            <w:r>
              <w:rPr>
                <w:rFonts w:hint="eastAsia" w:ascii="Times New Roman" w:hAnsi="Times New Roman" w:cs="Times New Roman"/>
                <w:sz w:val="24"/>
                <w:szCs w:val="24"/>
              </w:rPr>
              <w:t>8</w:t>
            </w:r>
            <w:r>
              <w:rPr>
                <w:rFonts w:ascii="Times New Roman" w:hAnsi="Times New Roman" w:cs="Times New Roman"/>
                <w:sz w:val="24"/>
                <w:szCs w:val="24"/>
              </w:rPr>
              <w:t>dB（A），</w:t>
            </w:r>
            <w:r>
              <w:rPr>
                <w:rFonts w:hint="eastAsia" w:ascii="Times New Roman" w:hAnsi="Times New Roman" w:cs="Times New Roman"/>
                <w:sz w:val="24"/>
                <w:szCs w:val="24"/>
              </w:rPr>
              <w:t>夜间</w:t>
            </w:r>
            <w:r>
              <w:rPr>
                <w:rFonts w:ascii="Times New Roman" w:hAnsi="Times New Roman" w:cs="Times New Roman"/>
                <w:sz w:val="24"/>
                <w:szCs w:val="24"/>
              </w:rPr>
              <w:t>声值为</w:t>
            </w:r>
            <w:r>
              <w:rPr>
                <w:rFonts w:hint="eastAsia" w:ascii="Times New Roman" w:hAnsi="Times New Roman" w:cs="Times New Roman"/>
                <w:sz w:val="24"/>
                <w:szCs w:val="24"/>
              </w:rPr>
              <w:t>40.1</w:t>
            </w:r>
            <w:r>
              <w:rPr>
                <w:rFonts w:ascii="Times New Roman" w:hAnsi="Times New Roman" w:cs="Times New Roman"/>
                <w:sz w:val="24"/>
                <w:szCs w:val="24"/>
              </w:rPr>
              <w:t>-</w:t>
            </w:r>
            <w:r>
              <w:rPr>
                <w:rFonts w:hint="eastAsia" w:ascii="Times New Roman" w:hAnsi="Times New Roman" w:cs="Times New Roman"/>
                <w:sz w:val="24"/>
                <w:szCs w:val="24"/>
              </w:rPr>
              <w:t>48</w:t>
            </w:r>
            <w:r>
              <w:rPr>
                <w:rFonts w:ascii="Times New Roman" w:hAnsi="Times New Roman" w:cs="Times New Roman"/>
                <w:sz w:val="24"/>
                <w:szCs w:val="24"/>
              </w:rPr>
              <w:t>.</w:t>
            </w:r>
            <w:r>
              <w:rPr>
                <w:rFonts w:hint="eastAsia" w:ascii="Times New Roman" w:hAnsi="Times New Roman" w:cs="Times New Roman"/>
                <w:sz w:val="24"/>
                <w:szCs w:val="24"/>
              </w:rPr>
              <w:t>0</w:t>
            </w:r>
            <w:r>
              <w:rPr>
                <w:rFonts w:ascii="Times New Roman" w:hAnsi="Times New Roman" w:cs="Times New Roman"/>
                <w:sz w:val="24"/>
                <w:szCs w:val="24"/>
              </w:rPr>
              <w:t>dB（A）</w:t>
            </w:r>
            <w:r>
              <w:rPr>
                <w:rFonts w:hint="eastAsia" w:ascii="Times New Roman" w:hAnsi="Times New Roman" w:cs="Times New Roman"/>
                <w:sz w:val="24"/>
                <w:szCs w:val="24"/>
              </w:rPr>
              <w:t>，</w:t>
            </w:r>
            <w:r>
              <w:rPr>
                <w:rFonts w:ascii="Times New Roman" w:hAnsi="Times New Roman" w:cs="Times New Roman"/>
                <w:sz w:val="24"/>
                <w:szCs w:val="24"/>
              </w:rPr>
              <w:t>能满足《工业企业厂界环境噪声排放标准》（GB12348-2008）</w:t>
            </w:r>
            <w:r>
              <w:rPr>
                <w:rFonts w:hint="eastAsia" w:ascii="Times New Roman" w:hAnsi="Times New Roman" w:cs="Times New Roman"/>
                <w:sz w:val="24"/>
                <w:szCs w:val="24"/>
              </w:rPr>
              <w:t>3类</w:t>
            </w:r>
            <w:r>
              <w:rPr>
                <w:rFonts w:ascii="Times New Roman" w:hAnsi="Times New Roman" w:cs="Times New Roman"/>
                <w:sz w:val="24"/>
                <w:szCs w:val="24"/>
              </w:rPr>
              <w:t>标准昼间</w:t>
            </w:r>
            <w:r>
              <w:rPr>
                <w:rFonts w:hint="eastAsia" w:ascii="Times New Roman" w:hAnsi="Times New Roman" w:cs="Times New Roman"/>
                <w:sz w:val="24"/>
                <w:szCs w:val="24"/>
              </w:rPr>
              <w:t>65dB</w:t>
            </w:r>
            <w:r>
              <w:rPr>
                <w:rFonts w:ascii="Times New Roman" w:hAnsi="Times New Roman" w:cs="Times New Roman"/>
                <w:sz w:val="24"/>
                <w:szCs w:val="24"/>
              </w:rPr>
              <w:t>（A）</w:t>
            </w:r>
            <w:r>
              <w:rPr>
                <w:rFonts w:hint="eastAsia" w:ascii="Times New Roman" w:hAnsi="Times New Roman" w:cs="Times New Roman"/>
                <w:sz w:val="24"/>
                <w:szCs w:val="24"/>
              </w:rPr>
              <w:t>、夜间55dB</w:t>
            </w:r>
            <w:r>
              <w:rPr>
                <w:rFonts w:ascii="Times New Roman" w:hAnsi="Times New Roman" w:cs="Times New Roman"/>
                <w:sz w:val="24"/>
                <w:szCs w:val="24"/>
              </w:rPr>
              <w:t>（A）的要求。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（4）固废</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现有</w:t>
            </w:r>
            <w:r>
              <w:rPr>
                <w:rFonts w:ascii="Times New Roman" w:hAnsi="Times New Roman" w:cs="Times New Roman"/>
                <w:sz w:val="24"/>
                <w:szCs w:val="24"/>
              </w:rPr>
              <w:t>项目固废产生于组装工段产生的碎铜丝，产生量为0.7t/a，收集后再次利用出售</w:t>
            </w:r>
            <w:r>
              <w:rPr>
                <w:rFonts w:hint="eastAsia" w:ascii="Times New Roman" w:hAnsi="Times New Roman" w:cs="Times New Roman"/>
                <w:sz w:val="24"/>
                <w:szCs w:val="24"/>
              </w:rPr>
              <w:t>。</w:t>
            </w:r>
          </w:p>
          <w:p>
            <w:pPr>
              <w:spacing w:line="360" w:lineRule="auto"/>
              <w:rPr>
                <w:rFonts w:ascii="Times New Roman" w:hAnsi="Times New Roman" w:cs="Times New Roman"/>
                <w:sz w:val="24"/>
                <w:szCs w:val="24"/>
              </w:rPr>
            </w:pPr>
            <w:r>
              <w:rPr>
                <w:rFonts w:hint="eastAsia" w:ascii="Times New Roman" w:hAnsi="Times New Roman" w:cs="Times New Roman"/>
                <w:sz w:val="24"/>
              </w:rPr>
              <w:t>6. 现</w:t>
            </w:r>
            <w:r>
              <w:rPr>
                <w:rFonts w:ascii="Times New Roman" w:hAnsi="Times New Roman" w:cs="Times New Roman"/>
                <w:sz w:val="24"/>
                <w:szCs w:val="24"/>
              </w:rPr>
              <w:t>有</w:t>
            </w:r>
            <w:r>
              <w:rPr>
                <w:rFonts w:hint="eastAsia" w:ascii="Times New Roman" w:hAnsi="Times New Roman" w:cs="Times New Roman"/>
                <w:sz w:val="24"/>
                <w:szCs w:val="24"/>
              </w:rPr>
              <w:t>项目存在问题一览表</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18</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现有项目存在问题一览表</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4307"/>
              <w:gridCol w:w="33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Borders>
                    <w:tl2br w:val="nil"/>
                    <w:tr2bl w:val="nil"/>
                  </w:tcBorders>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序号</w:t>
                  </w:r>
                </w:p>
              </w:tc>
              <w:tc>
                <w:tcPr>
                  <w:tcW w:w="4307" w:type="dxa"/>
                  <w:tcBorders>
                    <w:tl2br w:val="nil"/>
                    <w:tr2bl w:val="nil"/>
                  </w:tcBorders>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存在问题</w:t>
                  </w:r>
                </w:p>
              </w:tc>
              <w:tc>
                <w:tcPr>
                  <w:tcW w:w="3315" w:type="dxa"/>
                  <w:tcBorders>
                    <w:tl2br w:val="nil"/>
                    <w:tr2bl w:val="nil"/>
                  </w:tcBorders>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解决方法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4307" w:type="dxa"/>
                  <w:tcBorders>
                    <w:tl2br w:val="nil"/>
                    <w:tr2bl w:val="nil"/>
                  </w:tcBorders>
                  <w:vAlign w:val="center"/>
                </w:tcPr>
                <w:p>
                  <w:pPr>
                    <w:spacing w:line="288" w:lineRule="auto"/>
                    <w:rPr>
                      <w:rFonts w:ascii="Times New Roman" w:hAnsi="Times New Roman" w:cs="Times New Roman"/>
                      <w:kern w:val="0"/>
                      <w:sz w:val="21"/>
                      <w:szCs w:val="21"/>
                    </w:rPr>
                  </w:pPr>
                  <w:r>
                    <w:rPr>
                      <w:rFonts w:ascii="Times New Roman" w:hAnsi="Times New Roman" w:cs="Times New Roman"/>
                      <w:sz w:val="21"/>
                      <w:szCs w:val="21"/>
                    </w:rPr>
                    <w:t>项目实际生产过程中焊接工序产生焊接烟尘，目前采取的治理措施是通过移动式焊接烟尘净化器进行无组织收集治理，现有环保规定不允许使用移动式焊接烟尘净化器</w:t>
                  </w:r>
                </w:p>
              </w:tc>
              <w:tc>
                <w:tcPr>
                  <w:tcW w:w="3315" w:type="dxa"/>
                  <w:tcBorders>
                    <w:tl2br w:val="nil"/>
                    <w:tr2bl w:val="nil"/>
                  </w:tcBorders>
                  <w:vAlign w:val="center"/>
                </w:tcPr>
                <w:p>
                  <w:pPr>
                    <w:spacing w:line="288" w:lineRule="auto"/>
                    <w:rPr>
                      <w:rFonts w:ascii="Times New Roman" w:hAnsi="Times New Roman" w:cs="Times New Roman"/>
                      <w:kern w:val="0"/>
                      <w:sz w:val="21"/>
                      <w:szCs w:val="21"/>
                    </w:rPr>
                  </w:pPr>
                  <w:r>
                    <w:rPr>
                      <w:rFonts w:ascii="Times New Roman" w:hAnsi="Times New Roman" w:cs="Times New Roman"/>
                      <w:kern w:val="0"/>
                      <w:sz w:val="21"/>
                      <w:szCs w:val="21"/>
                    </w:rPr>
                    <w:t>进行整改；使用集气罩收集焊接烟尘后</w:t>
                  </w:r>
                  <w:r>
                    <w:rPr>
                      <w:rFonts w:hint="eastAsia" w:ascii="Times New Roman" w:hAnsi="Times New Roman" w:cs="Times New Roman"/>
                      <w:kern w:val="0"/>
                      <w:sz w:val="21"/>
                      <w:szCs w:val="21"/>
                    </w:rPr>
                    <w:t>引入脉冲袋式除尘器</w:t>
                  </w:r>
                  <w:r>
                    <w:rPr>
                      <w:rFonts w:ascii="Times New Roman" w:hAnsi="Times New Roman" w:cs="Times New Roman"/>
                      <w:kern w:val="0"/>
                      <w:sz w:val="21"/>
                      <w:szCs w:val="21"/>
                    </w:rPr>
                    <w:t>处理</w:t>
                  </w:r>
                  <w:r>
                    <w:rPr>
                      <w:rFonts w:hint="eastAsia" w:ascii="Times New Roman" w:hAnsi="Times New Roman" w:cs="Times New Roman"/>
                      <w:kern w:val="0"/>
                      <w:sz w:val="21"/>
                      <w:szCs w:val="21"/>
                    </w:rPr>
                    <w:t>并通过15m烟囱排放</w:t>
                  </w:r>
                  <w:r>
                    <w:rPr>
                      <w:rFonts w:ascii="Times New Roman" w:hAnsi="Times New Roman" w:cs="Times New Roman"/>
                      <w:kern w:val="0"/>
                      <w:sz w:val="21"/>
                      <w:szCs w:val="21"/>
                    </w:rPr>
                    <w:t>，并申请排放总量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4307" w:type="dxa"/>
                  <w:tcBorders>
                    <w:tl2br w:val="nil"/>
                    <w:tr2bl w:val="nil"/>
                  </w:tcBorders>
                  <w:vAlign w:val="center"/>
                </w:tcPr>
                <w:p>
                  <w:pPr>
                    <w:spacing w:line="288" w:lineRule="auto"/>
                    <w:rPr>
                      <w:rFonts w:ascii="Times New Roman" w:hAnsi="Times New Roman" w:cs="Times New Roman"/>
                      <w:kern w:val="0"/>
                      <w:sz w:val="21"/>
                      <w:szCs w:val="21"/>
                    </w:rPr>
                  </w:pPr>
                  <w:r>
                    <w:rPr>
                      <w:rFonts w:ascii="Times New Roman" w:hAnsi="Times New Roman" w:cs="Times New Roman"/>
                      <w:kern w:val="0"/>
                      <w:sz w:val="21"/>
                      <w:szCs w:val="21"/>
                    </w:rPr>
                    <w:t>切割、打磨工序未进行无组织废气收集</w:t>
                  </w:r>
                </w:p>
              </w:tc>
              <w:tc>
                <w:tcPr>
                  <w:tcW w:w="3315" w:type="dxa"/>
                  <w:tcBorders>
                    <w:tl2br w:val="nil"/>
                    <w:tr2bl w:val="nil"/>
                  </w:tcBorders>
                  <w:vAlign w:val="center"/>
                </w:tcPr>
                <w:p>
                  <w:pPr>
                    <w:spacing w:line="288" w:lineRule="auto"/>
                    <w:rPr>
                      <w:rFonts w:ascii="Times New Roman" w:hAnsi="Times New Roman" w:cs="Times New Roman"/>
                      <w:kern w:val="0"/>
                      <w:sz w:val="21"/>
                      <w:szCs w:val="21"/>
                    </w:rPr>
                  </w:pPr>
                  <w:r>
                    <w:rPr>
                      <w:rFonts w:ascii="Times New Roman" w:hAnsi="Times New Roman" w:cs="Times New Roman"/>
                      <w:kern w:val="0"/>
                      <w:sz w:val="21"/>
                      <w:szCs w:val="21"/>
                    </w:rPr>
                    <w:t>进行整改；使用集气罩收集无组织废气后</w:t>
                  </w:r>
                  <w:r>
                    <w:rPr>
                      <w:rFonts w:hint="eastAsia" w:ascii="Times New Roman" w:hAnsi="Times New Roman" w:cs="Times New Roman"/>
                      <w:kern w:val="0"/>
                      <w:sz w:val="21"/>
                      <w:szCs w:val="21"/>
                    </w:rPr>
                    <w:t>引入脉冲袋式除尘器</w:t>
                  </w:r>
                  <w:r>
                    <w:rPr>
                      <w:rFonts w:ascii="Times New Roman" w:hAnsi="Times New Roman" w:cs="Times New Roman"/>
                      <w:kern w:val="0"/>
                      <w:sz w:val="21"/>
                      <w:szCs w:val="21"/>
                    </w:rPr>
                    <w:t>处理</w:t>
                  </w:r>
                  <w:r>
                    <w:rPr>
                      <w:rFonts w:hint="eastAsia" w:ascii="Times New Roman" w:hAnsi="Times New Roman" w:cs="Times New Roman"/>
                      <w:kern w:val="0"/>
                      <w:sz w:val="21"/>
                      <w:szCs w:val="21"/>
                    </w:rPr>
                    <w:t>并通过15m烟囱排放</w:t>
                  </w:r>
                  <w:r>
                    <w:rPr>
                      <w:rFonts w:ascii="Times New Roman" w:hAnsi="Times New Roman" w:cs="Times New Roman"/>
                      <w:kern w:val="0"/>
                      <w:sz w:val="21"/>
                      <w:szCs w:val="21"/>
                    </w:rPr>
                    <w:t>，并申请排放总量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4307" w:type="dxa"/>
                  <w:tcBorders>
                    <w:tl2br w:val="nil"/>
                    <w:tr2bl w:val="nil"/>
                  </w:tcBorders>
                  <w:vAlign w:val="center"/>
                </w:tcPr>
                <w:p>
                  <w:pPr>
                    <w:spacing w:line="288" w:lineRule="auto"/>
                    <w:rPr>
                      <w:rFonts w:ascii="Times New Roman" w:hAnsi="Times New Roman" w:cs="Times New Roman"/>
                      <w:kern w:val="0"/>
                      <w:sz w:val="21"/>
                      <w:szCs w:val="21"/>
                    </w:rPr>
                  </w:pPr>
                  <w:r>
                    <w:rPr>
                      <w:rFonts w:ascii="Times New Roman" w:hAnsi="Times New Roman" w:cs="Times New Roman"/>
                      <w:kern w:val="0"/>
                      <w:sz w:val="21"/>
                      <w:szCs w:val="21"/>
                    </w:rPr>
                    <w:t>原环评要求生活污水不外排，验收至今生活污水为</w:t>
                  </w:r>
                  <w:r>
                    <w:rPr>
                      <w:rFonts w:ascii="Times New Roman" w:hAnsi="Times New Roman" w:cs="Times New Roman"/>
                      <w:sz w:val="21"/>
                      <w:szCs w:val="21"/>
                    </w:rPr>
                    <w:t>预处理后排至园区管网。</w:t>
                  </w:r>
                </w:p>
              </w:tc>
              <w:tc>
                <w:tcPr>
                  <w:tcW w:w="3315" w:type="dxa"/>
                  <w:tcBorders>
                    <w:tl2br w:val="nil"/>
                    <w:tr2bl w:val="nil"/>
                  </w:tcBorders>
                  <w:vAlign w:val="center"/>
                </w:tcPr>
                <w:p>
                  <w:pPr>
                    <w:spacing w:line="288" w:lineRule="auto"/>
                    <w:rPr>
                      <w:rFonts w:ascii="Times New Roman" w:hAnsi="Times New Roman" w:cs="Times New Roman"/>
                      <w:kern w:val="0"/>
                      <w:sz w:val="21"/>
                      <w:szCs w:val="21"/>
                    </w:rPr>
                  </w:pPr>
                  <w:r>
                    <w:rPr>
                      <w:rFonts w:ascii="Times New Roman" w:hAnsi="Times New Roman" w:cs="Times New Roman"/>
                      <w:kern w:val="0"/>
                      <w:sz w:val="21"/>
                      <w:szCs w:val="21"/>
                    </w:rPr>
                    <w:t>补充申请排放总量</w:t>
                  </w:r>
                </w:p>
              </w:tc>
            </w:tr>
          </w:tbl>
          <w:p>
            <w:pPr>
              <w:adjustRightInd w:val="0"/>
              <w:snapToGrid w:val="0"/>
              <w:spacing w:before="156" w:beforeLines="50" w:line="360" w:lineRule="auto"/>
              <w:ind w:firstLine="480" w:firstLineChars="200"/>
              <w:rPr>
                <w:rFonts w:ascii="Times New Roman" w:hAnsi="Times New Roman" w:cs="Times New Roman"/>
                <w:b/>
                <w:color w:val="000000" w:themeColor="text1"/>
                <w:szCs w:val="28"/>
                <w14:textFill>
                  <w14:solidFill>
                    <w14:schemeClr w14:val="tx1"/>
                  </w14:solidFill>
                </w14:textFill>
              </w:rPr>
            </w:pPr>
            <w:r>
              <w:rPr>
                <w:rFonts w:hint="eastAsia" w:ascii="Times New Roman" w:hAnsi="Times New Roman" w:cs="Times New Roman"/>
                <w:sz w:val="24"/>
                <w:szCs w:val="24"/>
              </w:rPr>
              <w:t>综上，本次扩建项目将按实际情况合并计算现有项目废水排放量、各类烟尘排放量并统一申请排放总量，待扩建项目建成后，需对现有项目整改情况及全厂项目进行一并验收。</w:t>
            </w:r>
          </w:p>
        </w:tc>
      </w:tr>
    </w:tbl>
    <w:p>
      <w:pPr>
        <w:spacing w:line="360" w:lineRule="auto"/>
        <w:jc w:val="left"/>
        <w:outlineLvl w:val="0"/>
        <w:rPr>
          <w:rStyle w:val="103"/>
        </w:rPr>
      </w:pPr>
      <w:r>
        <w:rPr>
          <w:rFonts w:ascii="Times New Roman" w:hAnsi="Times New Roman" w:cs="Times New Roman"/>
          <w:b/>
          <w:sz w:val="30"/>
        </w:rPr>
        <w:br w:type="page"/>
      </w:r>
      <w:r>
        <w:rPr>
          <w:rStyle w:val="103"/>
        </w:rPr>
        <w:t>建设项目所在地自然环境简况</w:t>
      </w:r>
    </w:p>
    <w:tbl>
      <w:tblPr>
        <w:tblStyle w:val="28"/>
        <w:tblW w:w="8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7" w:type="dxa"/>
          </w:tcPr>
          <w:p>
            <w:pPr>
              <w:adjustRightInd w:val="0"/>
              <w:snapToGrid w:val="0"/>
              <w:spacing w:line="360" w:lineRule="auto"/>
              <w:jc w:val="left"/>
              <w:rPr>
                <w:rFonts w:ascii="Times New Roman" w:hAnsi="Times New Roman" w:eastAsia="黑体" w:cs="Times New Roman"/>
                <w:sz w:val="26"/>
              </w:rPr>
            </w:pPr>
            <w:r>
              <w:rPr>
                <w:rFonts w:ascii="Times New Roman" w:hAnsi="Times New Roman" w:eastAsia="黑体" w:cs="Times New Roman"/>
                <w:spacing w:val="-14"/>
                <w:szCs w:val="28"/>
              </w:rPr>
              <w:t>自然环境简况（地形、地貌、地质、气候、气象、水文、植被、生物多样性等）</w:t>
            </w:r>
            <w:r>
              <w:rPr>
                <w:rFonts w:ascii="Times New Roman" w:hAnsi="Times New Roman" w:eastAsia="黑体" w:cs="Times New Roman"/>
                <w:sz w:val="26"/>
              </w:rPr>
              <w:t>：</w:t>
            </w:r>
          </w:p>
          <w:p>
            <w:pPr>
              <w:pStyle w:val="5"/>
              <w:keepNext w:val="0"/>
              <w:keepLines w:val="0"/>
              <w:adjustRightInd w:val="0"/>
              <w:snapToGrid w:val="0"/>
              <w:spacing w:before="0" w:after="0" w:line="360" w:lineRule="auto"/>
              <w:rPr>
                <w:rFonts w:ascii="Times New Roman" w:hAnsi="Times New Roman" w:eastAsia="宋体"/>
                <w:bCs/>
                <w:color w:val="auto"/>
                <w:sz w:val="24"/>
                <w:lang w:eastAsia="zh-CN"/>
              </w:rPr>
            </w:pPr>
            <w:r>
              <w:rPr>
                <w:rFonts w:ascii="Times New Roman" w:hAnsi="Times New Roman" w:eastAsia="宋体"/>
                <w:bCs/>
                <w:color w:val="auto"/>
                <w:sz w:val="24"/>
                <w:lang w:eastAsia="zh-CN"/>
              </w:rPr>
              <w:t>1.地理位置</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新乡市位于河南省北部，地理坐标为东经113°48´38˝-113°57´29˝，北纬35°15´03˝-35°26´38˝，总面积为8169km</w:t>
            </w:r>
            <w:r>
              <w:rPr>
                <w:rFonts w:ascii="Times New Roman" w:hAnsi="Times New Roman" w:cs="Times New Roman"/>
                <w:sz w:val="24"/>
                <w:vertAlign w:val="superscript"/>
              </w:rPr>
              <w:t>2</w:t>
            </w:r>
            <w:r>
              <w:rPr>
                <w:rFonts w:ascii="Times New Roman" w:hAnsi="Times New Roman" w:cs="Times New Roman"/>
                <w:sz w:val="24"/>
              </w:rPr>
              <w:t>。</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新乡经济技术开发区（原新乡工业产业集聚区）位于新乡市市区东部，距市区行政中心8km，地理坐标东经114°01´，北纬35°06´。</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本项目位于新乡市新乡经济技术开发区支一路与支四路交叉口向东150米，具体地理位置详见附图1。</w:t>
            </w:r>
          </w:p>
          <w:p>
            <w:pPr>
              <w:pStyle w:val="5"/>
              <w:keepNext w:val="0"/>
              <w:keepLines w:val="0"/>
              <w:adjustRightInd w:val="0"/>
              <w:snapToGrid w:val="0"/>
              <w:spacing w:before="0" w:after="0" w:line="360" w:lineRule="auto"/>
              <w:rPr>
                <w:rFonts w:ascii="Times New Roman" w:hAnsi="Times New Roman" w:eastAsia="宋体"/>
                <w:bCs/>
                <w:color w:val="auto"/>
                <w:sz w:val="24"/>
                <w:lang w:eastAsia="zh-CN"/>
              </w:rPr>
            </w:pPr>
            <w:r>
              <w:rPr>
                <w:rFonts w:ascii="Times New Roman" w:hAnsi="Times New Roman" w:eastAsia="宋体"/>
                <w:bCs/>
                <w:color w:val="auto"/>
                <w:sz w:val="24"/>
                <w:lang w:eastAsia="zh-CN"/>
              </w:rPr>
              <w:t>2.地质构造与地形地貌</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新乡市属于华北板块，地处黄河、海河两大流域，地势北高南低，北部主要是太行山山地和丘陵岗地，南部为黄河冲积扇平原，平原占全市土地总面积的78%。新乡市除西北隅太行山区至山前倾斜平原一带地势从晋豫边界向东南呈台阶式下降外，广大黄河冲积扇平原地势西南高而东北低，总体自辖区西南隅向东北倾斜，有中山、低山、丘陵、山间盆地和平原等多种地貌类型，土壤的分布与之密切相关。各类地貌的展布格局和延伸方向，除南部临黄河一带受秦岭系东西向活动构造的控制外，其余地区大多受新华夏系北北东—北东向构造格局的控制。以北北东—北东向太行山前活动断裂为界，新生代以来，除西北隅地壳持续抬升隆起成山之外，其余地区持续下降成为黄河冲积扇平原。</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扩建项目所在的新乡经济技术开发区地处黄河故道的中心部位，属黄河冲积平原地貌类型，地形较平坦，总趋势西南高东北低，地面平均坡度1/3000左右。地面海拔高程，中部及南部一般为72 m左右，砂丘最高点为86.2 m，西部及北部沿大沙河两岸最低点高程也在68 m以上。</w:t>
            </w:r>
          </w:p>
          <w:p>
            <w:pPr>
              <w:adjustRightInd w:val="0"/>
              <w:snapToGrid w:val="0"/>
              <w:spacing w:line="360" w:lineRule="auto"/>
              <w:ind w:firstLine="570"/>
              <w:rPr>
                <w:rFonts w:ascii="Times New Roman" w:hAnsi="Times New Roman" w:cs="Times New Roman"/>
              </w:rPr>
            </w:pPr>
            <w:r>
              <w:rPr>
                <w:rFonts w:ascii="Times New Roman" w:hAnsi="Times New Roman" w:cs="Times New Roman"/>
                <w:sz w:val="24"/>
              </w:rPr>
              <w:t>扩建项目厂址内地形平整，场地土质类型为中软土。海拔6</w:t>
            </w:r>
            <w:r>
              <w:rPr>
                <w:rFonts w:hint="eastAsia" w:ascii="Times New Roman" w:hAnsi="Times New Roman" w:cs="Times New Roman"/>
                <w:sz w:val="24"/>
              </w:rPr>
              <w:t>7</w:t>
            </w:r>
            <w:r>
              <w:rPr>
                <w:rFonts w:ascii="Times New Roman" w:hAnsi="Times New Roman" w:cs="Times New Roman"/>
                <w:sz w:val="24"/>
              </w:rPr>
              <w:t>m。</w:t>
            </w:r>
          </w:p>
          <w:p>
            <w:pPr>
              <w:pStyle w:val="5"/>
              <w:keepNext w:val="0"/>
              <w:keepLines w:val="0"/>
              <w:adjustRightInd w:val="0"/>
              <w:snapToGrid w:val="0"/>
              <w:spacing w:before="0" w:after="0" w:line="360" w:lineRule="auto"/>
              <w:rPr>
                <w:rFonts w:ascii="Times New Roman" w:hAnsi="Times New Roman" w:eastAsia="宋体"/>
                <w:bCs/>
                <w:color w:val="auto"/>
                <w:sz w:val="24"/>
                <w:lang w:eastAsia="zh-CN"/>
              </w:rPr>
            </w:pPr>
            <w:r>
              <w:rPr>
                <w:rFonts w:ascii="Times New Roman" w:hAnsi="Times New Roman" w:eastAsia="宋体"/>
                <w:bCs/>
                <w:color w:val="auto"/>
                <w:sz w:val="24"/>
                <w:lang w:eastAsia="zh-CN"/>
              </w:rPr>
              <w:t>3.气候气象</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新乡市属于典型的暖温带大陆性季风气候，四季分明，降雨集中。冬季寒冷，春季干旱多风，夏季炎热多雨，秋季秋高气爽。根据新乡气象站（53986）统计资料，新乡市近20年（1998-2017年）的气象资料统计结果见表1</w:t>
            </w:r>
            <w:r>
              <w:rPr>
                <w:rFonts w:hint="eastAsia" w:ascii="Times New Roman" w:hAnsi="Times New Roman" w:cs="Times New Roman"/>
                <w:sz w:val="24"/>
                <w:szCs w:val="24"/>
              </w:rPr>
              <w:t>9</w:t>
            </w:r>
            <w:r>
              <w:rPr>
                <w:rFonts w:ascii="Times New Roman" w:hAnsi="Times New Roman" w:cs="Times New Roman"/>
                <w:sz w:val="24"/>
                <w:szCs w:val="24"/>
              </w:rPr>
              <w:t>。</w:t>
            </w:r>
          </w:p>
          <w:p>
            <w:pPr>
              <w:pStyle w:val="10"/>
              <w:spacing w:before="93" w:beforeLines="30" w:after="93" w:afterLines="30"/>
              <w:jc w:val="center"/>
              <w:rPr>
                <w:rFonts w:ascii="Times New Roman" w:hAnsi="Times New Roman" w:cs="Times New Roman"/>
                <w:b/>
                <w:bCs/>
                <w:sz w:val="22"/>
                <w:szCs w:val="22"/>
              </w:rPr>
            </w:pP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19</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新乡气象站常规气象项目统计（1998-2017）</w:t>
            </w:r>
          </w:p>
          <w:tbl>
            <w:tblPr>
              <w:tblStyle w:val="28"/>
              <w:tblW w:w="8695" w:type="dxa"/>
              <w:tblInd w:w="0" w:type="dxa"/>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Layout w:type="fixed"/>
              <w:tblCellMar>
                <w:top w:w="0" w:type="dxa"/>
                <w:left w:w="0" w:type="dxa"/>
                <w:bottom w:w="0" w:type="dxa"/>
                <w:right w:w="0" w:type="dxa"/>
              </w:tblCellMar>
            </w:tblPr>
            <w:tblGrid>
              <w:gridCol w:w="1309"/>
              <w:gridCol w:w="2745"/>
              <w:gridCol w:w="1438"/>
              <w:gridCol w:w="1788"/>
              <w:gridCol w:w="1415"/>
            </w:tblGrid>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tcBorders>
                    <w:tl2br w:val="nil"/>
                    <w:tr2bl w:val="nil"/>
                  </w:tcBorders>
                  <w:vAlign w:val="center"/>
                </w:tcPr>
                <w:p>
                  <w:pPr>
                    <w:pStyle w:val="96"/>
                    <w:spacing w:line="288" w:lineRule="auto"/>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统计项目</w:t>
                  </w:r>
                </w:p>
              </w:tc>
              <w:tc>
                <w:tcPr>
                  <w:tcW w:w="1438" w:type="dxa"/>
                  <w:tcBorders>
                    <w:tl2br w:val="nil"/>
                    <w:tr2bl w:val="nil"/>
                  </w:tcBorders>
                  <w:vAlign w:val="center"/>
                </w:tcPr>
                <w:p>
                  <w:pPr>
                    <w:pStyle w:val="96"/>
                    <w:spacing w:line="288" w:lineRule="auto"/>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统计值</w:t>
                  </w:r>
                </w:p>
              </w:tc>
              <w:tc>
                <w:tcPr>
                  <w:tcW w:w="1788" w:type="dxa"/>
                  <w:tcBorders>
                    <w:tl2br w:val="nil"/>
                    <w:tr2bl w:val="nil"/>
                  </w:tcBorders>
                  <w:vAlign w:val="center"/>
                </w:tcPr>
                <w:p>
                  <w:pPr>
                    <w:pStyle w:val="96"/>
                    <w:spacing w:line="288" w:lineRule="auto"/>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极值出现时间</w:t>
                  </w:r>
                </w:p>
              </w:tc>
              <w:tc>
                <w:tcPr>
                  <w:tcW w:w="1415" w:type="dxa"/>
                  <w:tcBorders>
                    <w:tl2br w:val="nil"/>
                    <w:tr2bl w:val="nil"/>
                  </w:tcBorders>
                  <w:vAlign w:val="center"/>
                </w:tcPr>
                <w:p>
                  <w:pPr>
                    <w:pStyle w:val="96"/>
                    <w:spacing w:line="288" w:lineRule="auto"/>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极值</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多年平均气温（℃）</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15.2</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累年极端最高气温（℃）</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38.3</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2009-06-25</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40.9</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累年极端最低气温（℃）</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-9.4</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2016-01-24</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-13.1</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多年平均气压（hPa）</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1008.0</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多年平均水汽压（hPa）</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13.0</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多年平均相对湿度(%)</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63.9</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多年平均降雨量(mm)</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575.7</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2016-07-09</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414.0</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1309" w:type="dxa"/>
                  <w:vMerge w:val="restart"/>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灾害天气统计</w:t>
                  </w:r>
                </w:p>
              </w:tc>
              <w:tc>
                <w:tcPr>
                  <w:tcW w:w="274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多年平均沙暴日数(d)</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0.3</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1309" w:type="dxa"/>
                  <w:vMerge w:val="continue"/>
                  <w:tcBorders>
                    <w:tl2br w:val="nil"/>
                    <w:tr2bl w:val="nil"/>
                  </w:tcBorders>
                  <w:vAlign w:val="center"/>
                </w:tcPr>
                <w:p>
                  <w:pPr>
                    <w:pStyle w:val="97"/>
                    <w:spacing w:line="288" w:lineRule="auto"/>
                    <w:rPr>
                      <w:rFonts w:ascii="Times New Roman" w:hAnsi="Times New Roman" w:cs="Times New Roman" w:eastAsiaTheme="minorEastAsia"/>
                      <w:bCs/>
                    </w:rPr>
                  </w:pPr>
                </w:p>
              </w:tc>
              <w:tc>
                <w:tcPr>
                  <w:tcW w:w="274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多年平均雷暴日数(d)</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21.6</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1309" w:type="dxa"/>
                  <w:vMerge w:val="continue"/>
                  <w:tcBorders>
                    <w:tl2br w:val="nil"/>
                    <w:tr2bl w:val="nil"/>
                  </w:tcBorders>
                  <w:vAlign w:val="center"/>
                </w:tcPr>
                <w:p>
                  <w:pPr>
                    <w:pStyle w:val="97"/>
                    <w:spacing w:line="288" w:lineRule="auto"/>
                    <w:rPr>
                      <w:rFonts w:ascii="Times New Roman" w:hAnsi="Times New Roman" w:cs="Times New Roman" w:eastAsiaTheme="minorEastAsia"/>
                      <w:bCs/>
                    </w:rPr>
                  </w:pPr>
                </w:p>
              </w:tc>
              <w:tc>
                <w:tcPr>
                  <w:tcW w:w="274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多年平均冰雹日数(d)</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0.3</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1309" w:type="dxa"/>
                  <w:vMerge w:val="continue"/>
                  <w:tcBorders>
                    <w:tl2br w:val="nil"/>
                    <w:tr2bl w:val="nil"/>
                  </w:tcBorders>
                  <w:vAlign w:val="center"/>
                </w:tcPr>
                <w:p>
                  <w:pPr>
                    <w:pStyle w:val="97"/>
                    <w:spacing w:line="288" w:lineRule="auto"/>
                    <w:rPr>
                      <w:rFonts w:ascii="Times New Roman" w:hAnsi="Times New Roman" w:cs="Times New Roman" w:eastAsiaTheme="minorEastAsia"/>
                      <w:bCs/>
                    </w:rPr>
                  </w:pPr>
                </w:p>
              </w:tc>
              <w:tc>
                <w:tcPr>
                  <w:tcW w:w="274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多年平均大风日数(d)</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3.9</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Merge w:val="restart"/>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多年实测极大风速（m/s）、相应风向</w:t>
                  </w:r>
                </w:p>
              </w:tc>
              <w:tc>
                <w:tcPr>
                  <w:tcW w:w="1438" w:type="dxa"/>
                  <w:vMerge w:val="restart"/>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8.1</w:t>
                  </w:r>
                </w:p>
              </w:tc>
              <w:tc>
                <w:tcPr>
                  <w:tcW w:w="1788" w:type="dxa"/>
                  <w:vMerge w:val="restart"/>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2002-06-01</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23.8</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Merge w:val="continue"/>
                  <w:tcBorders>
                    <w:tl2br w:val="nil"/>
                    <w:tr2bl w:val="nil"/>
                  </w:tcBorders>
                  <w:vAlign w:val="center"/>
                </w:tcPr>
                <w:p>
                  <w:pPr>
                    <w:pStyle w:val="97"/>
                    <w:spacing w:line="288" w:lineRule="auto"/>
                    <w:rPr>
                      <w:rFonts w:ascii="Times New Roman" w:hAnsi="Times New Roman" w:cs="Times New Roman" w:eastAsiaTheme="minorEastAsia"/>
                      <w:bCs/>
                    </w:rPr>
                  </w:pPr>
                </w:p>
              </w:tc>
              <w:tc>
                <w:tcPr>
                  <w:tcW w:w="1438" w:type="dxa"/>
                  <w:vMerge w:val="continue"/>
                  <w:tcBorders>
                    <w:tl2br w:val="nil"/>
                    <w:tr2bl w:val="nil"/>
                  </w:tcBorders>
                  <w:vAlign w:val="center"/>
                </w:tcPr>
                <w:p>
                  <w:pPr>
                    <w:pStyle w:val="97"/>
                    <w:spacing w:line="288" w:lineRule="auto"/>
                    <w:rPr>
                      <w:rFonts w:ascii="Times New Roman" w:hAnsi="Times New Roman" w:cs="Times New Roman" w:eastAsiaTheme="minorEastAsia"/>
                      <w:bCs/>
                    </w:rPr>
                  </w:pPr>
                </w:p>
              </w:tc>
              <w:tc>
                <w:tcPr>
                  <w:tcW w:w="1788" w:type="dxa"/>
                  <w:vMerge w:val="continue"/>
                  <w:tcBorders>
                    <w:tl2br w:val="nil"/>
                    <w:tr2bl w:val="nil"/>
                  </w:tcBorders>
                  <w:vAlign w:val="center"/>
                </w:tcPr>
                <w:p>
                  <w:pPr>
                    <w:pStyle w:val="97"/>
                    <w:spacing w:line="288" w:lineRule="auto"/>
                    <w:rPr>
                      <w:rFonts w:ascii="Times New Roman" w:hAnsi="Times New Roman" w:cs="Times New Roman" w:eastAsiaTheme="minorEastAsia"/>
                      <w:bCs/>
                    </w:rPr>
                  </w:pP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N</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多年平均风速（m/s）</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2.1</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Merge w:val="restart"/>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多年主导风向、风向频率(%)</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ENE</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vMerge w:val="continue"/>
                  <w:tcBorders>
                    <w:tl2br w:val="nil"/>
                    <w:tr2bl w:val="nil"/>
                  </w:tcBorders>
                  <w:vAlign w:val="center"/>
                </w:tcPr>
                <w:p>
                  <w:pPr>
                    <w:pStyle w:val="97"/>
                    <w:spacing w:line="288" w:lineRule="auto"/>
                    <w:rPr>
                      <w:rFonts w:ascii="Times New Roman" w:hAnsi="Times New Roman" w:cs="Times New Roman" w:eastAsiaTheme="minorEastAsia"/>
                      <w:bCs/>
                    </w:rPr>
                  </w:pP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17.0</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r>
              <w:tblPrEx>
                <w:tblBorders>
                  <w:top w:val="single" w:color="000001" w:sz="12" w:space="0"/>
                  <w:left w:val="none" w:color="auto" w:sz="0" w:space="0"/>
                  <w:bottom w:val="single" w:color="000001" w:sz="12" w:space="0"/>
                  <w:right w:val="none" w:color="auto" w:sz="0" w:space="0"/>
                  <w:insideH w:val="single" w:color="000001" w:sz="6" w:space="0"/>
                  <w:insideV w:val="single" w:color="000001" w:sz="6" w:space="0"/>
                </w:tblBorders>
                <w:tblCellMar>
                  <w:top w:w="0" w:type="dxa"/>
                  <w:left w:w="0" w:type="dxa"/>
                  <w:bottom w:w="0" w:type="dxa"/>
                  <w:right w:w="0" w:type="dxa"/>
                </w:tblCellMar>
              </w:tblPrEx>
              <w:trPr>
                <w:trHeight w:val="369" w:hRule="atLeast"/>
              </w:trPr>
              <w:tc>
                <w:tcPr>
                  <w:tcW w:w="4054" w:type="dxa"/>
                  <w:gridSpan w:val="2"/>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多年静风频率(风速&lt;0.2m/s)(%)</w:t>
                  </w:r>
                </w:p>
              </w:tc>
              <w:tc>
                <w:tcPr>
                  <w:tcW w:w="143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11.8</w:t>
                  </w:r>
                </w:p>
              </w:tc>
              <w:tc>
                <w:tcPr>
                  <w:tcW w:w="1788"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c>
                <w:tcPr>
                  <w:tcW w:w="1415" w:type="dxa"/>
                  <w:tcBorders>
                    <w:tl2br w:val="nil"/>
                    <w:tr2bl w:val="nil"/>
                  </w:tcBorders>
                  <w:vAlign w:val="center"/>
                </w:tcPr>
                <w:p>
                  <w:pPr>
                    <w:pStyle w:val="97"/>
                    <w:spacing w:line="288" w:lineRule="auto"/>
                    <w:rPr>
                      <w:rFonts w:ascii="Times New Roman" w:hAnsi="Times New Roman" w:cs="Times New Roman" w:eastAsiaTheme="minorEastAsia"/>
                      <w:bCs/>
                    </w:rPr>
                  </w:pPr>
                  <w:r>
                    <w:rPr>
                      <w:rFonts w:ascii="Times New Roman" w:hAnsi="Times New Roman" w:cs="Times New Roman" w:eastAsiaTheme="minorEastAsia"/>
                      <w:bCs/>
                    </w:rPr>
                    <w:t>/</w:t>
                  </w:r>
                </w:p>
              </w:tc>
            </w:tr>
          </w:tbl>
          <w:p>
            <w:pPr>
              <w:pStyle w:val="5"/>
              <w:keepNext w:val="0"/>
              <w:keepLines w:val="0"/>
              <w:adjustRightInd w:val="0"/>
              <w:snapToGrid w:val="0"/>
              <w:spacing w:before="156" w:beforeLines="50" w:after="0" w:line="360" w:lineRule="auto"/>
              <w:rPr>
                <w:rFonts w:ascii="Times New Roman" w:hAnsi="Times New Roman" w:eastAsia="宋体"/>
                <w:bCs/>
                <w:color w:val="auto"/>
                <w:sz w:val="24"/>
                <w:lang w:eastAsia="zh-CN"/>
              </w:rPr>
            </w:pPr>
            <w:r>
              <w:rPr>
                <w:rFonts w:ascii="Times New Roman" w:hAnsi="Times New Roman" w:eastAsia="宋体"/>
                <w:bCs/>
                <w:color w:val="auto"/>
                <w:sz w:val="24"/>
                <w:lang w:eastAsia="zh-CN"/>
              </w:rPr>
              <w:t>4.水文特征</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4.1地表水</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区域地表水主要有大沙河、东孟姜女河和东三干渠，其中大沙河属黄河流域，东孟姜女河属海河流域，东三干渠是两大水系的分水岭。</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（1）大沙河：大沙河属黄河水系，发源于新乡县古固寨镇庄岩附近砂丘间，呈南西-北东向展布，从西南</w:t>
            </w:r>
            <w:r>
              <w:rPr>
                <w:rFonts w:hint="eastAsia" w:ascii="Times New Roman" w:hAnsi="Times New Roman" w:cs="Times New Roman"/>
                <w:b/>
                <w:bCs/>
                <w:sz w:val="24"/>
              </w:rPr>
              <w:t>邢</w:t>
            </w:r>
            <w:r>
              <w:rPr>
                <w:rFonts w:ascii="Times New Roman" w:hAnsi="Times New Roman" w:cs="Times New Roman"/>
                <w:sz w:val="24"/>
              </w:rPr>
              <w:t>庄村进入经开区，于小杨庄北流出。大沙河规划功能为IV类。</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2）东孟姜女河：东孟姜女河是卫河的支流，属海河流域，全长50.5km，流经新乡县、新乡市、卫辉市，是沿途主要的纳污河流，由于接纳了大量生产、生活废水，已超过地面水V类标准，主要污染物为COD、氨氮。东孟姜女河规划功能为V类。</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（3）东三干渠：东三干渠为农灌渠，引黄河水作水源，于1958年建成引水渠，全长37.8km，顶宽20m左右，底宽8-11m，深2.7-3.3m，引水流量15-31</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ascii="Times New Roman" w:hAnsi="Times New Roman" w:cs="Times New Roman"/>
                <w:sz w:val="24"/>
              </w:rPr>
              <w:t>/s，两岸水泥衬彻，边坡 1：2，年引水8-12次，平均引水天数144天。</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本项目无生产废水，生活污水通过预处理后排入污水管网，进入新乡市小店污水处理厂进一步处理，处理达标后排入大沙河。</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4.2地下水</w:t>
            </w:r>
          </w:p>
          <w:p>
            <w:pPr>
              <w:adjustRightInd w:val="0"/>
              <w:snapToGrid w:val="0"/>
              <w:spacing w:line="360" w:lineRule="auto"/>
              <w:ind w:firstLine="570"/>
              <w:rPr>
                <w:rFonts w:ascii="Times New Roman" w:hAnsi="Times New Roman" w:cs="Times New Roman"/>
              </w:rPr>
            </w:pPr>
            <w:r>
              <w:rPr>
                <w:rFonts w:ascii="Times New Roman" w:hAnsi="Times New Roman" w:cs="Times New Roman"/>
                <w:sz w:val="24"/>
              </w:rPr>
              <w:t>该地区地下水资源丰富。经探测表明：该地区浅层水顶板埋深4－8m，底板埋深71－87m，以中砂为主。中层水顶板埋深73－97m，底板埋深124－137m，以中细砂为主，地下水矿化度小于0.7g/L。地下水流向从西南至东北。</w:t>
            </w:r>
          </w:p>
          <w:p>
            <w:pPr>
              <w:pStyle w:val="5"/>
              <w:keepNext w:val="0"/>
              <w:keepLines w:val="0"/>
              <w:adjustRightInd w:val="0"/>
              <w:snapToGrid w:val="0"/>
              <w:spacing w:before="0" w:after="0" w:line="360" w:lineRule="auto"/>
              <w:rPr>
                <w:rFonts w:ascii="Times New Roman" w:hAnsi="Times New Roman" w:eastAsia="宋体"/>
                <w:bCs/>
                <w:color w:val="auto"/>
                <w:sz w:val="24"/>
                <w:lang w:eastAsia="zh-CN"/>
              </w:rPr>
            </w:pPr>
            <w:r>
              <w:rPr>
                <w:rFonts w:ascii="Times New Roman" w:hAnsi="Times New Roman" w:eastAsia="宋体"/>
                <w:bCs/>
                <w:color w:val="auto"/>
                <w:sz w:val="24"/>
                <w:lang w:eastAsia="zh-CN"/>
              </w:rPr>
              <w:t>5.土壤与植被</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新乡市土壤分两大类：潮土和褐土。卫河两岸属潮土类，北部丘陵属褐土类。泻洪区属潮土向褐土过度的湿潮土。由于成土母质、地形及熟化条件的差异，潮土类中有二合土、淤土、青砂土和盐碱土。褐土类中有粗骨土、红粘土、红垆土等。新乡市自南向北，土壤类型由简单到复杂，土壤表层质地由轻变重。</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土壤母质系新生界第四系，为太行山前冲洪积物与黄河、沁河冲积物沉积而成。形成县境内砂质、壤质、粘质三级土壤，组成6个母质机械类型。境内黄河故道为沉砂组成，系砂土和砂壤土。黄河故道以北系黄河滩地，土质为褐土化小两合、褐土化两合土，并兼有不同的其他类型。古阳堤以北地势低洼，地下水渗入形成潮化，土壤为小两合、两合土，兼有不同的其他类型。共产主义渠以南、卫河两岸，多为潮化土壤。</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项目所在地土壤属潮土向褐土过渡的湿潮土、砂土。</w:t>
            </w:r>
          </w:p>
          <w:p>
            <w:pPr>
              <w:pStyle w:val="5"/>
              <w:keepNext w:val="0"/>
              <w:keepLines w:val="0"/>
              <w:adjustRightInd w:val="0"/>
              <w:snapToGrid w:val="0"/>
              <w:spacing w:before="0" w:after="0" w:line="360" w:lineRule="auto"/>
              <w:rPr>
                <w:rFonts w:ascii="Times New Roman" w:hAnsi="Times New Roman" w:eastAsia="宋体"/>
                <w:bCs/>
                <w:color w:val="auto"/>
                <w:sz w:val="24"/>
                <w:lang w:eastAsia="zh-CN"/>
              </w:rPr>
            </w:pPr>
            <w:r>
              <w:rPr>
                <w:rFonts w:ascii="Times New Roman" w:hAnsi="Times New Roman" w:eastAsia="宋体"/>
                <w:bCs/>
                <w:color w:val="auto"/>
                <w:sz w:val="24"/>
                <w:lang w:eastAsia="zh-CN"/>
              </w:rPr>
              <w:t>6.饮用水源保护区规划</w:t>
            </w:r>
          </w:p>
          <w:p>
            <w:pPr>
              <w:adjustRightInd w:val="0"/>
              <w:snapToGrid w:val="0"/>
              <w:spacing w:line="360" w:lineRule="auto"/>
              <w:ind w:firstLine="570"/>
              <w:rPr>
                <w:rFonts w:ascii="Times New Roman" w:hAnsi="Times New Roman" w:cs="Times New Roman"/>
                <w:sz w:val="24"/>
              </w:rPr>
            </w:pPr>
            <w:r>
              <w:rPr>
                <w:rFonts w:hint="eastAsia" w:ascii="Times New Roman" w:hAnsi="Times New Roman" w:cs="Times New Roman"/>
                <w:sz w:val="24"/>
              </w:rPr>
              <w:t>6.1</w:t>
            </w:r>
            <w:r>
              <w:rPr>
                <w:rFonts w:ascii="Times New Roman" w:hAnsi="Times New Roman" w:cs="Times New Roman"/>
                <w:sz w:val="24"/>
              </w:rPr>
              <w:t>新乡市饮用水水源地保护区规划</w:t>
            </w:r>
          </w:p>
          <w:p>
            <w:pPr>
              <w:adjustRightInd w:val="0"/>
              <w:snapToGrid w:val="0"/>
              <w:spacing w:line="360" w:lineRule="auto"/>
              <w:ind w:firstLine="570"/>
              <w:rPr>
                <w:rFonts w:ascii="Times New Roman" w:hAnsi="Times New Roman" w:cs="Times New Roman"/>
                <w:sz w:val="24"/>
              </w:rPr>
            </w:pPr>
            <w:r>
              <w:rPr>
                <w:rFonts w:ascii="Times New Roman" w:hAnsi="Times New Roman" w:cs="Times New Roman"/>
                <w:sz w:val="24"/>
              </w:rPr>
              <w:t>《新乡市城市饮用水水源地保护区划分报告》（2007.5）已由河南省人民政府以豫政办[2007]125号文批复，具体划分结果如下表</w:t>
            </w:r>
            <w:r>
              <w:rPr>
                <w:rFonts w:hint="eastAsia" w:ascii="Times New Roman" w:hAnsi="Times New Roman" w:cs="Times New Roman"/>
                <w:sz w:val="24"/>
              </w:rPr>
              <w:t>20</w:t>
            </w:r>
            <w:r>
              <w:rPr>
                <w:rFonts w:ascii="Times New Roman" w:hAnsi="Times New Roman" w:cs="Times New Roman"/>
                <w:sz w:val="24"/>
              </w:rPr>
              <w:t>。</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20</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新乡市城市集中饮用水源地</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75"/>
              <w:gridCol w:w="1985"/>
              <w:gridCol w:w="2968"/>
              <w:gridCol w:w="289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12" w:hRule="atLeast"/>
                <w:jc w:val="center"/>
              </w:trPr>
              <w:tc>
                <w:tcPr>
                  <w:tcW w:w="675" w:type="dxa"/>
                  <w:tcBorders>
                    <w:tl2br w:val="nil"/>
                    <w:tr2bl w:val="nil"/>
                  </w:tcBorders>
                  <w:vAlign w:val="center"/>
                </w:tcPr>
                <w:p>
                  <w:pPr>
                    <w:spacing w:line="288" w:lineRule="auto"/>
                    <w:jc w:val="center"/>
                    <w:rPr>
                      <w:rFonts w:ascii="Times New Roman" w:hAnsi="Times New Roman" w:cs="Times New Roman"/>
                      <w:b/>
                      <w:sz w:val="21"/>
                      <w:szCs w:val="21"/>
                    </w:rPr>
                  </w:pPr>
                  <w:r>
                    <w:rPr>
                      <w:rFonts w:ascii="Times New Roman" w:hAnsi="Times New Roman" w:cs="Times New Roman"/>
                      <w:b/>
                      <w:sz w:val="21"/>
                      <w:szCs w:val="21"/>
                    </w:rPr>
                    <w:t>序号</w:t>
                  </w:r>
                </w:p>
              </w:tc>
              <w:tc>
                <w:tcPr>
                  <w:tcW w:w="1985" w:type="dxa"/>
                  <w:tcBorders>
                    <w:tl2br w:val="nil"/>
                    <w:tr2bl w:val="nil"/>
                  </w:tcBorders>
                  <w:vAlign w:val="center"/>
                </w:tcPr>
                <w:p>
                  <w:pPr>
                    <w:spacing w:line="288" w:lineRule="auto"/>
                    <w:jc w:val="center"/>
                    <w:rPr>
                      <w:rFonts w:ascii="Times New Roman" w:hAnsi="Times New Roman" w:cs="Times New Roman"/>
                      <w:b/>
                      <w:sz w:val="21"/>
                      <w:szCs w:val="21"/>
                    </w:rPr>
                  </w:pPr>
                  <w:r>
                    <w:rPr>
                      <w:rFonts w:ascii="Times New Roman" w:hAnsi="Times New Roman" w:cs="Times New Roman"/>
                      <w:b/>
                      <w:sz w:val="21"/>
                      <w:szCs w:val="21"/>
                    </w:rPr>
                    <w:t>水源地名称</w:t>
                  </w:r>
                </w:p>
              </w:tc>
              <w:tc>
                <w:tcPr>
                  <w:tcW w:w="2968" w:type="dxa"/>
                  <w:tcBorders>
                    <w:tl2br w:val="nil"/>
                    <w:tr2bl w:val="nil"/>
                  </w:tcBorders>
                  <w:vAlign w:val="center"/>
                </w:tcPr>
                <w:p>
                  <w:pPr>
                    <w:spacing w:line="288" w:lineRule="auto"/>
                    <w:jc w:val="center"/>
                    <w:rPr>
                      <w:rFonts w:ascii="Times New Roman" w:hAnsi="Times New Roman" w:cs="Times New Roman"/>
                      <w:b/>
                      <w:sz w:val="21"/>
                      <w:szCs w:val="21"/>
                    </w:rPr>
                  </w:pPr>
                  <w:r>
                    <w:rPr>
                      <w:rFonts w:ascii="Times New Roman" w:hAnsi="Times New Roman" w:cs="Times New Roman"/>
                      <w:b/>
                      <w:sz w:val="21"/>
                      <w:szCs w:val="21"/>
                    </w:rPr>
                    <w:t>一级保护区</w:t>
                  </w:r>
                </w:p>
              </w:tc>
              <w:tc>
                <w:tcPr>
                  <w:tcW w:w="2894" w:type="dxa"/>
                  <w:tcBorders>
                    <w:tl2br w:val="nil"/>
                    <w:tr2bl w:val="nil"/>
                  </w:tcBorders>
                  <w:vAlign w:val="center"/>
                </w:tcPr>
                <w:p>
                  <w:pPr>
                    <w:spacing w:line="288" w:lineRule="auto"/>
                    <w:jc w:val="center"/>
                    <w:rPr>
                      <w:rFonts w:ascii="Times New Roman" w:hAnsi="Times New Roman" w:cs="Times New Roman"/>
                      <w:b/>
                      <w:sz w:val="21"/>
                      <w:szCs w:val="21"/>
                    </w:rPr>
                  </w:pPr>
                  <w:r>
                    <w:rPr>
                      <w:rFonts w:ascii="Times New Roman" w:hAnsi="Times New Roman" w:cs="Times New Roman"/>
                      <w:b/>
                      <w:sz w:val="21"/>
                      <w:szCs w:val="21"/>
                    </w:rPr>
                    <w:t>二级保护区</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7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1985"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黄河贾太湖地表水饮用水源保护区</w:t>
                  </w:r>
                </w:p>
              </w:tc>
              <w:tc>
                <w:tcPr>
                  <w:tcW w:w="5862" w:type="dxa"/>
                  <w:gridSpan w:val="2"/>
                  <w:tcBorders>
                    <w:tl2br w:val="nil"/>
                    <w:tr2bl w:val="nil"/>
                  </w:tcBorders>
                  <w:vAlign w:val="center"/>
                </w:tcPr>
                <w:p>
                  <w:pPr>
                    <w:pStyle w:val="97"/>
                    <w:spacing w:line="288" w:lineRule="auto"/>
                    <w:rPr>
                      <w:rFonts w:ascii="Times New Roman" w:hAnsi="Times New Roman" w:cs="Times New Roman"/>
                      <w:color w:val="000000"/>
                    </w:rPr>
                  </w:pPr>
                  <w:r>
                    <w:rPr>
                      <w:rFonts w:ascii="Times New Roman" w:hAnsi="Times New Roman" w:cs="Times New Roman"/>
                    </w:rPr>
                    <w:t>豫政文[2018]114号文将其取消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7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1985"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黄河原阳中岳地表水饮用水源保护区</w:t>
                  </w:r>
                </w:p>
              </w:tc>
              <w:tc>
                <w:tcPr>
                  <w:tcW w:w="5862" w:type="dxa"/>
                  <w:gridSpan w:val="2"/>
                  <w:tcBorders>
                    <w:tl2br w:val="nil"/>
                    <w:tr2bl w:val="nil"/>
                  </w:tcBorders>
                  <w:vAlign w:val="center"/>
                </w:tcPr>
                <w:p>
                  <w:pPr>
                    <w:pStyle w:val="97"/>
                    <w:spacing w:line="288" w:lineRule="auto"/>
                    <w:rPr>
                      <w:rFonts w:ascii="Times New Roman" w:hAnsi="Times New Roman" w:cs="Times New Roman"/>
                      <w:color w:val="000000"/>
                    </w:rPr>
                  </w:pPr>
                  <w:r>
                    <w:rPr>
                      <w:rFonts w:ascii="Times New Roman" w:hAnsi="Times New Roman" w:cs="Times New Roman"/>
                    </w:rPr>
                    <w:t>豫政文[2018]114号文将其取消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7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3</w:t>
                  </w:r>
                </w:p>
              </w:tc>
              <w:tc>
                <w:tcPr>
                  <w:tcW w:w="1985" w:type="dxa"/>
                  <w:tcBorders>
                    <w:tl2br w:val="nil"/>
                    <w:tr2bl w:val="nil"/>
                  </w:tcBorders>
                  <w:vAlign w:val="center"/>
                </w:tcPr>
                <w:p>
                  <w:pPr>
                    <w:spacing w:line="288" w:lineRule="auto"/>
                    <w:rPr>
                      <w:rFonts w:ascii="Times New Roman" w:hAnsi="Times New Roman" w:cs="Times New Roman"/>
                      <w:color w:val="000000"/>
                      <w:sz w:val="21"/>
                      <w:szCs w:val="21"/>
                    </w:rPr>
                  </w:pPr>
                  <w:r>
                    <w:rPr>
                      <w:rFonts w:ascii="Times New Roman" w:hAnsi="Times New Roman" w:cs="Times New Roman"/>
                      <w:color w:val="000000"/>
                      <w:sz w:val="21"/>
                      <w:szCs w:val="21"/>
                    </w:rPr>
                    <w:t>三水厂地下水饮用水源保护区</w:t>
                  </w:r>
                </w:p>
              </w:tc>
              <w:tc>
                <w:tcPr>
                  <w:tcW w:w="5862" w:type="dxa"/>
                  <w:gridSpan w:val="2"/>
                  <w:tcBorders>
                    <w:tl2br w:val="nil"/>
                    <w:tr2bl w:val="nil"/>
                  </w:tcBorders>
                  <w:vAlign w:val="center"/>
                </w:tcPr>
                <w:p>
                  <w:pPr>
                    <w:pStyle w:val="97"/>
                    <w:spacing w:line="288" w:lineRule="auto"/>
                    <w:rPr>
                      <w:rFonts w:ascii="Times New Roman" w:hAnsi="Times New Roman" w:cs="Times New Roman"/>
                      <w:color w:val="000000"/>
                    </w:rPr>
                  </w:pPr>
                  <w:r>
                    <w:rPr>
                      <w:rFonts w:ascii="Times New Roman" w:hAnsi="Times New Roman" w:cs="Times New Roman"/>
                    </w:rPr>
                    <w:t>豫政文[2018]114号文将其取消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7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4</w:t>
                  </w:r>
                </w:p>
              </w:tc>
              <w:tc>
                <w:tcPr>
                  <w:tcW w:w="1985"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四水厂地下水饮用水源保护区</w:t>
                  </w:r>
                </w:p>
              </w:tc>
              <w:tc>
                <w:tcPr>
                  <w:tcW w:w="2968" w:type="dxa"/>
                  <w:tcBorders>
                    <w:tl2br w:val="nil"/>
                    <w:tr2bl w:val="nil"/>
                  </w:tcBorders>
                  <w:vAlign w:val="center"/>
                </w:tcPr>
                <w:p>
                  <w:pPr>
                    <w:spacing w:line="288" w:lineRule="auto"/>
                    <w:rPr>
                      <w:rFonts w:ascii="Times New Roman" w:hAnsi="Times New Roman" w:cs="Times New Roman"/>
                      <w:color w:val="000000"/>
                      <w:sz w:val="21"/>
                      <w:szCs w:val="21"/>
                    </w:rPr>
                  </w:pPr>
                  <w:r>
                    <w:rPr>
                      <w:rFonts w:ascii="Times New Roman" w:hAnsi="Times New Roman" w:cs="Times New Roman"/>
                      <w:color w:val="000000"/>
                      <w:sz w:val="21"/>
                      <w:szCs w:val="21"/>
                    </w:rPr>
                    <w:t>西曹和东曹村北以北，2号井和11号井连线向北150米以南，22号井向东150米以西，12—1号井西150米以东以及输水管线两侧10米的区域。</w:t>
                  </w:r>
                </w:p>
              </w:tc>
              <w:tc>
                <w:tcPr>
                  <w:tcW w:w="2894" w:type="dxa"/>
                  <w:tcBorders>
                    <w:tl2br w:val="nil"/>
                    <w:tr2bl w:val="nil"/>
                  </w:tcBorders>
                  <w:vAlign w:val="center"/>
                </w:tcPr>
                <w:p>
                  <w:pPr>
                    <w:spacing w:line="288" w:lineRule="auto"/>
                    <w:rPr>
                      <w:rFonts w:ascii="Times New Roman" w:hAnsi="Times New Roman" w:cs="Times New Roman"/>
                      <w:color w:val="000000"/>
                      <w:sz w:val="21"/>
                      <w:szCs w:val="21"/>
                    </w:rPr>
                  </w:pPr>
                  <w:r>
                    <w:rPr>
                      <w:rFonts w:ascii="Times New Roman" w:hAnsi="Times New Roman" w:cs="Times New Roman"/>
                      <w:color w:val="000000"/>
                      <w:sz w:val="21"/>
                      <w:szCs w:val="21"/>
                    </w:rPr>
                    <w:t>西曹、中曹村和余庄南及七里营村北以北，西石碑和东石碑村南及高村和西贾城村北以南，21号桥以西，敦留店村西以东的区域。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7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5</w:t>
                  </w:r>
                </w:p>
              </w:tc>
              <w:tc>
                <w:tcPr>
                  <w:tcW w:w="1985"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sz w:val="21"/>
                      <w:szCs w:val="21"/>
                    </w:rPr>
                    <w:t>凤泉水厂地下水饮用水源保护区</w:t>
                  </w:r>
                </w:p>
              </w:tc>
              <w:tc>
                <w:tcPr>
                  <w:tcW w:w="2968"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以水厂东、西两院的院墙为界向外10米以及输水管线两侧10米的区域。</w:t>
                  </w:r>
                </w:p>
              </w:tc>
              <w:tc>
                <w:tcPr>
                  <w:tcW w:w="2894"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东以团结路为界，其他三面以水厂院墙为界，向外100米的区域。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7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6</w:t>
                  </w:r>
                </w:p>
              </w:tc>
              <w:tc>
                <w:tcPr>
                  <w:tcW w:w="1985"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卫辉市塔岗水库地表水饮用水源保护区</w:t>
                  </w:r>
                </w:p>
              </w:tc>
              <w:tc>
                <w:tcPr>
                  <w:tcW w:w="2968"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取水口</w:t>
                  </w:r>
                  <w:r>
                    <w:rPr>
                      <w:rFonts w:ascii="Times New Roman" w:hAnsi="Times New Roman" w:cs="Times New Roman"/>
                      <w:sz w:val="21"/>
                      <w:szCs w:val="21"/>
                    </w:rPr>
                    <w:t>外围</w:t>
                  </w:r>
                  <w:r>
                    <w:rPr>
                      <w:rFonts w:ascii="Times New Roman" w:hAnsi="Times New Roman" w:cs="Times New Roman"/>
                      <w:color w:val="000000"/>
                      <w:sz w:val="21"/>
                      <w:szCs w:val="21"/>
                    </w:rPr>
                    <w:t>300米的水域、正常水位线取水口一侧200米的陆域及输水管道两侧10米的陆域。</w:t>
                  </w:r>
                </w:p>
              </w:tc>
              <w:tc>
                <w:tcPr>
                  <w:tcW w:w="2894"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一级保护区外的水域及山脊线内、入库河流上游3000米的陆域。</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80" w:hRule="atLeast"/>
                <w:jc w:val="center"/>
              </w:trPr>
              <w:tc>
                <w:tcPr>
                  <w:tcW w:w="675"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7</w:t>
                  </w:r>
                </w:p>
              </w:tc>
              <w:tc>
                <w:tcPr>
                  <w:tcW w:w="1985"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辉县市段屯地下水饮用水源保护区</w:t>
                  </w:r>
                </w:p>
              </w:tc>
              <w:tc>
                <w:tcPr>
                  <w:tcW w:w="2968"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井群外围线以外30米的区域及输水管道两侧10米的陆域。</w:t>
                  </w:r>
                </w:p>
              </w:tc>
              <w:tc>
                <w:tcPr>
                  <w:tcW w:w="2894" w:type="dxa"/>
                  <w:tcBorders>
                    <w:tl2br w:val="nil"/>
                    <w:tr2bl w:val="nil"/>
                  </w:tcBorders>
                  <w:vAlign w:val="center"/>
                </w:tcPr>
                <w:p>
                  <w:pPr>
                    <w:spacing w:line="288" w:lineRule="auto"/>
                    <w:rPr>
                      <w:rFonts w:ascii="Times New Roman" w:hAnsi="Times New Roman" w:cs="Times New Roman"/>
                      <w:sz w:val="21"/>
                      <w:szCs w:val="21"/>
                    </w:rPr>
                  </w:pPr>
                  <w:r>
                    <w:rPr>
                      <w:rFonts w:ascii="Times New Roman" w:hAnsi="Times New Roman" w:cs="Times New Roman"/>
                      <w:color w:val="000000"/>
                      <w:sz w:val="21"/>
                      <w:szCs w:val="21"/>
                    </w:rPr>
                    <w:t>卫柿路以北，东外环路以东，井群外围线外300米以西和以南的区域。</w:t>
                  </w:r>
                </w:p>
              </w:tc>
            </w:tr>
          </w:tbl>
          <w:p>
            <w:pPr>
              <w:spacing w:line="360" w:lineRule="auto"/>
              <w:ind w:firstLine="480"/>
              <w:rPr>
                <w:rFonts w:ascii="Times New Roman" w:hAnsi="Times New Roman" w:cs="Times New Roman"/>
                <w:sz w:val="24"/>
              </w:rPr>
            </w:pPr>
            <w:r>
              <w:rPr>
                <w:rFonts w:ascii="Times New Roman" w:hAnsi="Times New Roman" w:cs="Times New Roman"/>
                <w:sz w:val="24"/>
              </w:rPr>
              <w:t>距本项目最近的保护区为凤泉水厂地下水饮用水源保护区，距离约为</w:t>
            </w:r>
            <w:r>
              <w:rPr>
                <w:rFonts w:hint="eastAsia" w:ascii="Times New Roman" w:hAnsi="Times New Roman" w:cs="Times New Roman"/>
                <w:sz w:val="24"/>
              </w:rPr>
              <w:t>19.95</w:t>
            </w:r>
            <w:r>
              <w:rPr>
                <w:rFonts w:ascii="Times New Roman" w:hAnsi="Times New Roman" w:cs="Times New Roman"/>
                <w:sz w:val="24"/>
              </w:rPr>
              <w:t>km，不在其保护区范围内，具体相对位置见图3：</w:t>
            </w:r>
          </w:p>
          <w:p>
            <w:pPr>
              <w:pStyle w:val="27"/>
              <w:ind w:firstLine="0" w:firstLineChars="0"/>
              <w:rPr>
                <w:rFonts w:ascii="Times New Roman" w:hAnsi="Times New Roman" w:cs="Times New Roman"/>
                <w:sz w:val="21"/>
                <w:szCs w:val="21"/>
              </w:rPr>
            </w:pPr>
            <w:r>
              <w:rPr>
                <w:rFonts w:hint="eastAsia" w:ascii="Times New Roman" w:hAnsi="Times New Roman" w:cs="Times New Roman"/>
                <w:sz w:val="21"/>
                <w:szCs w:val="21"/>
              </w:rPr>
              <w:drawing>
                <wp:inline distT="0" distB="0" distL="114300" distR="114300">
                  <wp:extent cx="5424805" cy="3080385"/>
                  <wp:effectExtent l="0" t="0" r="10795" b="5715"/>
                  <wp:docPr id="3" name="图片 3" descr="地下水水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下水水源"/>
                          <pic:cNvPicPr>
                            <a:picLocks noChangeAspect="1"/>
                          </pic:cNvPicPr>
                        </pic:nvPicPr>
                        <pic:blipFill>
                          <a:blip r:embed="rId12"/>
                          <a:stretch>
                            <a:fillRect/>
                          </a:stretch>
                        </pic:blipFill>
                        <pic:spPr>
                          <a:xfrm>
                            <a:off x="0" y="0"/>
                            <a:ext cx="5424805" cy="3080385"/>
                          </a:xfrm>
                          <a:prstGeom prst="rect">
                            <a:avLst/>
                          </a:prstGeom>
                        </pic:spPr>
                      </pic:pic>
                    </a:graphicData>
                  </a:graphic>
                </wp:inline>
              </w:drawing>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图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图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w:t>
            </w:r>
            <w:r>
              <w:rPr>
                <w:rFonts w:hint="eastAsia" w:ascii="Times New Roman" w:hAnsi="Times New Roman" w:cs="Times New Roman"/>
                <w:b/>
                <w:bCs/>
                <w:sz w:val="22"/>
                <w:szCs w:val="22"/>
              </w:rPr>
              <w:t>本项目选址与新乡市集中式饮用水水源地相对位置图</w:t>
            </w:r>
          </w:p>
          <w:p>
            <w:pPr>
              <w:adjustRightInd w:val="0"/>
              <w:snapToGrid w:val="0"/>
              <w:spacing w:line="360" w:lineRule="auto"/>
              <w:ind w:firstLine="570"/>
              <w:rPr>
                <w:rFonts w:ascii="Times New Roman" w:hAnsi="Times New Roman" w:cs="Times New Roman"/>
                <w:sz w:val="24"/>
              </w:rPr>
            </w:pPr>
            <w:r>
              <w:rPr>
                <w:rFonts w:hint="eastAsia" w:ascii="Times New Roman" w:hAnsi="Times New Roman" w:cs="Times New Roman"/>
                <w:sz w:val="24"/>
              </w:rPr>
              <w:t>根据《河南省乡镇集中式饮用水水源保护区划》（豫政办[2016]23号），距本项目最近的乡镇集中式饮用水源地保护区为新乡县古固寨镇水厂地下水井群（共2眼井）饮用水源一级保护区。一级保护区范围为：水厂厂区及外围东15米、西45米、南35米、北10米的区域(1号取水井)，2号取水井外围50米的区域。根据现场调查，距离本项目最近的新乡市乡镇饮用水源为厂址西南7.75 km处的古固寨镇地下水井群饮用水源保护区，具体相对位置如图4：</w:t>
            </w:r>
          </w:p>
          <w:p>
            <w:pPr>
              <w:adjustRightInd w:val="0"/>
              <w:snapToGrid w:val="0"/>
              <w:spacing w:line="360" w:lineRule="auto"/>
              <w:rPr>
                <w:rFonts w:ascii="Times New Roman" w:hAnsi="Times New Roman" w:cs="Times New Roman"/>
                <w:sz w:val="24"/>
              </w:rPr>
            </w:pPr>
            <w:r>
              <w:rPr>
                <w:rFonts w:hint="eastAsia" w:ascii="Times New Roman" w:hAnsi="Times New Roman" w:cs="Times New Roman"/>
                <w:sz w:val="24"/>
              </w:rPr>
              <w:drawing>
                <wp:inline distT="0" distB="0" distL="114300" distR="114300">
                  <wp:extent cx="5424805" cy="3080385"/>
                  <wp:effectExtent l="0" t="0" r="10795" b="5715"/>
                  <wp:docPr id="13" name="图片 13" descr="水井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水井群"/>
                          <pic:cNvPicPr>
                            <a:picLocks noChangeAspect="1"/>
                          </pic:cNvPicPr>
                        </pic:nvPicPr>
                        <pic:blipFill>
                          <a:blip r:embed="rId13"/>
                          <a:stretch>
                            <a:fillRect/>
                          </a:stretch>
                        </pic:blipFill>
                        <pic:spPr>
                          <a:xfrm>
                            <a:off x="0" y="0"/>
                            <a:ext cx="5424805" cy="3080385"/>
                          </a:xfrm>
                          <a:prstGeom prst="rect">
                            <a:avLst/>
                          </a:prstGeom>
                        </pic:spPr>
                      </pic:pic>
                    </a:graphicData>
                  </a:graphic>
                </wp:inline>
              </w:drawing>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图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图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w:t>
            </w:r>
            <w:r>
              <w:rPr>
                <w:rFonts w:hint="eastAsia" w:ascii="Times New Roman" w:hAnsi="Times New Roman" w:cs="Times New Roman"/>
                <w:b/>
                <w:bCs/>
                <w:sz w:val="22"/>
                <w:szCs w:val="22"/>
              </w:rPr>
              <w:t>本项目选址与古固寨镇地下水井群饮用水源保护区相对位置图</w:t>
            </w:r>
          </w:p>
          <w:p>
            <w:pPr>
              <w:adjustRightInd w:val="0"/>
              <w:snapToGrid w:val="0"/>
              <w:spacing w:line="360" w:lineRule="auto"/>
              <w:ind w:firstLine="570"/>
              <w:rPr>
                <w:rFonts w:ascii="Times New Roman" w:hAnsi="Times New Roman" w:cs="Times New Roman"/>
                <w:sz w:val="24"/>
              </w:rPr>
            </w:pPr>
            <w:r>
              <w:rPr>
                <w:rFonts w:hint="eastAsia" w:ascii="Times New Roman" w:hAnsi="Times New Roman" w:cs="Times New Roman"/>
                <w:sz w:val="24"/>
              </w:rPr>
              <w:t>由图3和图4可知，本项目选址不在新乡市饮用水源保护区和新乡市乡镇饮用水源保护区范围内</w:t>
            </w:r>
          </w:p>
          <w:p>
            <w:pPr>
              <w:pStyle w:val="5"/>
              <w:keepNext w:val="0"/>
              <w:keepLines w:val="0"/>
              <w:adjustRightInd w:val="0"/>
              <w:snapToGrid w:val="0"/>
              <w:spacing w:before="0" w:after="0" w:line="360" w:lineRule="auto"/>
              <w:rPr>
                <w:rFonts w:ascii="Times New Roman" w:hAnsi="Times New Roman" w:eastAsia="宋体"/>
                <w:bCs/>
                <w:color w:val="auto"/>
                <w:sz w:val="24"/>
                <w:lang w:eastAsia="zh-CN"/>
              </w:rPr>
            </w:pPr>
            <w:r>
              <w:rPr>
                <w:rFonts w:ascii="Times New Roman" w:hAnsi="Times New Roman" w:eastAsia="宋体"/>
                <w:bCs/>
                <w:color w:val="auto"/>
                <w:sz w:val="24"/>
                <w:lang w:eastAsia="zh-CN"/>
              </w:rPr>
              <w:t>7.生态现状</w:t>
            </w:r>
          </w:p>
          <w:p>
            <w:pPr>
              <w:adjustRightInd w:val="0"/>
              <w:snapToGrid w:val="0"/>
              <w:spacing w:line="360" w:lineRule="auto"/>
              <w:ind w:firstLine="570"/>
              <w:rPr>
                <w:rFonts w:ascii="Times New Roman" w:hAnsi="Times New Roman" w:cs="Times New Roman"/>
                <w:b/>
                <w:bCs/>
                <w:sz w:val="24"/>
              </w:rPr>
            </w:pPr>
            <w:r>
              <w:rPr>
                <w:rFonts w:ascii="Times New Roman" w:hAnsi="Times New Roman" w:cs="Times New Roman"/>
                <w:sz w:val="24"/>
              </w:rPr>
              <w:t>新乡经济技术开发区土壤属于潮土向褐土过渡的湿潮土、沙土。地表植被主要是林草及农作物，主要树种有国槐、刺槐、泡桐、柳树等，主要灌木有白腊条、胡枝子等。区域可见到小型野生动物青蛙、田鼠等，鸟类有麻雀、喜鹊、灰喜鹊等。新乡市不是一个资源型城市，不存在资源型城市大多具有的自然生态遭到破坏、环境污染和退化的问题，区域生态现状良好。</w:t>
            </w:r>
          </w:p>
        </w:tc>
      </w:tr>
    </w:tbl>
    <w:p>
      <w:pPr>
        <w:spacing w:line="360" w:lineRule="auto"/>
        <w:jc w:val="left"/>
        <w:outlineLvl w:val="0"/>
        <w:rPr>
          <w:rStyle w:val="103"/>
        </w:rPr>
      </w:pPr>
      <w:r>
        <w:rPr>
          <w:rFonts w:ascii="Times New Roman" w:hAnsi="Times New Roman" w:cs="Times New Roman"/>
          <w:b/>
          <w:sz w:val="30"/>
        </w:rPr>
        <w:br w:type="page"/>
      </w:r>
      <w:r>
        <w:rPr>
          <w:rStyle w:val="103"/>
        </w:rPr>
        <w:t>环境质量状况</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288" w:type="dxa"/>
          </w:tcPr>
          <w:p>
            <w:pPr>
              <w:pStyle w:val="13"/>
              <w:adjustRightInd w:val="0"/>
              <w:snapToGrid w:val="0"/>
              <w:rPr>
                <w:rFonts w:ascii="Times New Roman" w:hAnsi="Times New Roman" w:eastAsia="黑体"/>
                <w:b w:val="0"/>
                <w:bCs/>
                <w:sz w:val="28"/>
                <w:szCs w:val="28"/>
                <w:lang w:eastAsia="zh-CN"/>
              </w:rPr>
            </w:pPr>
            <w:r>
              <w:rPr>
                <w:rFonts w:ascii="Times New Roman" w:hAnsi="Times New Roman" w:eastAsia="黑体"/>
                <w:b w:val="0"/>
                <w:bCs/>
                <w:sz w:val="28"/>
                <w:szCs w:val="28"/>
                <w:lang w:eastAsia="zh-CN"/>
              </w:rPr>
              <w:t>建设项目所在地区域环境质量现状及主要环境问题（环境空气、地表水、地下水、声环境、生态环境等）：</w:t>
            </w:r>
          </w:p>
          <w:p>
            <w:pPr>
              <w:adjustRightInd w:val="0"/>
              <w:snapToGrid w:val="0"/>
              <w:spacing w:before="156" w:beforeLines="50" w:line="360" w:lineRule="auto"/>
              <w:rPr>
                <w:rFonts w:ascii="Times New Roman" w:hAnsi="Times New Roman" w:cs="Times New Roman"/>
                <w:b/>
                <w:sz w:val="24"/>
                <w:szCs w:val="24"/>
              </w:rPr>
            </w:pPr>
            <w:r>
              <w:rPr>
                <w:rFonts w:ascii="Times New Roman" w:hAnsi="Times New Roman" w:cs="Times New Roman"/>
                <w:b/>
                <w:sz w:val="24"/>
                <w:szCs w:val="24"/>
              </w:rPr>
              <w:t>1、环境空气质量现状</w:t>
            </w:r>
          </w:p>
          <w:p>
            <w:pPr>
              <w:widowControl/>
              <w:adjustRightInd w:val="0"/>
              <w:snapToGrid w:val="0"/>
              <w:spacing w:line="360" w:lineRule="auto"/>
              <w:ind w:firstLine="480" w:firstLineChars="200"/>
              <w:rPr>
                <w:rFonts w:ascii="Times New Roman" w:hAnsi="Times New Roman" w:cs="Times New Roman"/>
                <w:kern w:val="0"/>
                <w:sz w:val="24"/>
                <w:szCs w:val="24"/>
              </w:rPr>
            </w:pPr>
            <w:r>
              <w:rPr>
                <w:rFonts w:ascii="Times New Roman" w:hAnsi="Times New Roman" w:cs="Times New Roman"/>
                <w:kern w:val="0"/>
                <w:sz w:val="24"/>
                <w:szCs w:val="24"/>
              </w:rPr>
              <w:t>根据《新乡市2018年环境质量年报》，区域空气质量现状数据见</w:t>
            </w:r>
            <w:r>
              <w:rPr>
                <w:rFonts w:hint="eastAsia" w:ascii="Times New Roman" w:hAnsi="Times New Roman" w:cs="Times New Roman"/>
                <w:kern w:val="0"/>
                <w:sz w:val="24"/>
                <w:szCs w:val="24"/>
              </w:rPr>
              <w:t>表21</w:t>
            </w:r>
            <w:r>
              <w:rPr>
                <w:rFonts w:ascii="Times New Roman" w:hAnsi="Times New Roman" w:cs="Times New Roman"/>
                <w:kern w:val="0"/>
                <w:sz w:val="24"/>
                <w:szCs w:val="24"/>
              </w:rPr>
              <w:t>。</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21</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新乡市大气基本污染物环境质量现状</w:t>
            </w:r>
          </w:p>
          <w:tbl>
            <w:tblPr>
              <w:tblStyle w:val="28"/>
              <w:tblW w:w="907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57" w:type="dxa"/>
                <w:left w:w="108" w:type="dxa"/>
                <w:bottom w:w="57" w:type="dxa"/>
                <w:right w:w="108" w:type="dxa"/>
              </w:tblCellMar>
            </w:tblPr>
            <w:tblGrid>
              <w:gridCol w:w="1242"/>
              <w:gridCol w:w="2099"/>
              <w:gridCol w:w="2359"/>
              <w:gridCol w:w="1998"/>
              <w:gridCol w:w="137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57" w:type="dxa"/>
                  <w:left w:w="108" w:type="dxa"/>
                  <w:bottom w:w="57" w:type="dxa"/>
                  <w:right w:w="108" w:type="dxa"/>
                </w:tblCellMar>
              </w:tblPrEx>
              <w:trPr>
                <w:cantSplit/>
                <w:trHeight w:val="340" w:hRule="atLeast"/>
                <w:jc w:val="center"/>
              </w:trPr>
              <w:tc>
                <w:tcPr>
                  <w:tcW w:w="1242"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
                      <w:bCs/>
                      <w:kern w:val="0"/>
                      <w:sz w:val="21"/>
                      <w:szCs w:val="21"/>
                    </w:rPr>
                  </w:pPr>
                  <w:r>
                    <w:rPr>
                      <w:rFonts w:ascii="Times New Roman" w:hAnsi="Times New Roman" w:cs="Times New Roman"/>
                      <w:b/>
                      <w:bCs/>
                      <w:kern w:val="0"/>
                      <w:sz w:val="21"/>
                      <w:szCs w:val="21"/>
                    </w:rPr>
                    <w:t>污染物</w:t>
                  </w:r>
                </w:p>
              </w:tc>
              <w:tc>
                <w:tcPr>
                  <w:tcW w:w="209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
                      <w:bCs/>
                      <w:kern w:val="0"/>
                      <w:sz w:val="21"/>
                      <w:szCs w:val="21"/>
                    </w:rPr>
                  </w:pPr>
                  <w:r>
                    <w:rPr>
                      <w:rFonts w:ascii="Times New Roman" w:hAnsi="Times New Roman" w:cs="Times New Roman"/>
                      <w:b/>
                      <w:bCs/>
                      <w:kern w:val="0"/>
                      <w:sz w:val="21"/>
                      <w:szCs w:val="21"/>
                    </w:rPr>
                    <w:t>年评价指标</w:t>
                  </w:r>
                </w:p>
              </w:tc>
              <w:tc>
                <w:tcPr>
                  <w:tcW w:w="235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
                      <w:bCs/>
                      <w:kern w:val="0"/>
                      <w:sz w:val="21"/>
                      <w:szCs w:val="21"/>
                    </w:rPr>
                  </w:pPr>
                  <w:r>
                    <w:rPr>
                      <w:rFonts w:ascii="Times New Roman" w:hAnsi="Times New Roman" w:cs="Times New Roman"/>
                      <w:b/>
                      <w:bCs/>
                      <w:kern w:val="0"/>
                      <w:sz w:val="21"/>
                      <w:szCs w:val="21"/>
                    </w:rPr>
                    <w:t>现状浓度/（μg/m</w:t>
                  </w:r>
                  <w:r>
                    <w:rPr>
                      <w:rFonts w:ascii="Times New Roman" w:hAnsi="Times New Roman" w:cs="Times New Roman"/>
                      <w:b/>
                      <w:bCs/>
                      <w:kern w:val="0"/>
                      <w:sz w:val="21"/>
                      <w:szCs w:val="21"/>
                      <w:vertAlign w:val="superscript"/>
                    </w:rPr>
                    <w:t>3</w:t>
                  </w:r>
                  <w:r>
                    <w:rPr>
                      <w:rFonts w:ascii="Times New Roman" w:hAnsi="Times New Roman" w:cs="Times New Roman"/>
                      <w:b/>
                      <w:bCs/>
                      <w:kern w:val="0"/>
                      <w:sz w:val="21"/>
                      <w:szCs w:val="21"/>
                    </w:rPr>
                    <w:t>）</w:t>
                  </w:r>
                </w:p>
              </w:tc>
              <w:tc>
                <w:tcPr>
                  <w:tcW w:w="1998"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
                      <w:bCs/>
                      <w:kern w:val="0"/>
                      <w:sz w:val="21"/>
                      <w:szCs w:val="21"/>
                    </w:rPr>
                  </w:pPr>
                  <w:r>
                    <w:rPr>
                      <w:rFonts w:ascii="Times New Roman" w:hAnsi="Times New Roman" w:cs="Times New Roman"/>
                      <w:b/>
                      <w:bCs/>
                      <w:kern w:val="0"/>
                      <w:sz w:val="21"/>
                      <w:szCs w:val="21"/>
                    </w:rPr>
                    <w:t>标准值/（μg/m</w:t>
                  </w:r>
                  <w:r>
                    <w:rPr>
                      <w:rFonts w:ascii="Times New Roman" w:hAnsi="Times New Roman" w:cs="Times New Roman"/>
                      <w:b/>
                      <w:bCs/>
                      <w:kern w:val="0"/>
                      <w:sz w:val="21"/>
                      <w:szCs w:val="21"/>
                      <w:vertAlign w:val="superscript"/>
                    </w:rPr>
                    <w:t>3</w:t>
                  </w:r>
                  <w:r>
                    <w:rPr>
                      <w:rFonts w:ascii="Times New Roman" w:hAnsi="Times New Roman" w:cs="Times New Roman"/>
                      <w:b/>
                      <w:bCs/>
                      <w:kern w:val="0"/>
                      <w:sz w:val="21"/>
                      <w:szCs w:val="21"/>
                    </w:rPr>
                    <w:t>）</w:t>
                  </w:r>
                </w:p>
              </w:tc>
              <w:tc>
                <w:tcPr>
                  <w:tcW w:w="1374"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
                      <w:bCs/>
                      <w:kern w:val="0"/>
                      <w:sz w:val="21"/>
                      <w:szCs w:val="21"/>
                    </w:rPr>
                  </w:pPr>
                  <w:r>
                    <w:rPr>
                      <w:rFonts w:ascii="Times New Roman" w:hAnsi="Times New Roman" w:cs="Times New Roman"/>
                      <w:b/>
                      <w:bCs/>
                      <w:kern w:val="0"/>
                      <w:sz w:val="21"/>
                      <w:szCs w:val="21"/>
                    </w:rPr>
                    <w:t>达标情况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57" w:type="dxa"/>
                  <w:left w:w="108" w:type="dxa"/>
                  <w:bottom w:w="57" w:type="dxa"/>
                  <w:right w:w="108" w:type="dxa"/>
                </w:tblCellMar>
              </w:tblPrEx>
              <w:trPr>
                <w:cantSplit/>
                <w:trHeight w:val="340" w:hRule="atLeast"/>
                <w:jc w:val="center"/>
              </w:trPr>
              <w:tc>
                <w:tcPr>
                  <w:tcW w:w="1242"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PM</w:t>
                  </w:r>
                  <w:r>
                    <w:rPr>
                      <w:rFonts w:ascii="Times New Roman" w:hAnsi="Times New Roman" w:cs="Times New Roman"/>
                      <w:kern w:val="0"/>
                      <w:sz w:val="21"/>
                      <w:szCs w:val="21"/>
                      <w:vertAlign w:val="subscript"/>
                    </w:rPr>
                    <w:t>10</w:t>
                  </w:r>
                </w:p>
              </w:tc>
              <w:tc>
                <w:tcPr>
                  <w:tcW w:w="209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年平均质量浓度</w:t>
                  </w:r>
                </w:p>
              </w:tc>
              <w:tc>
                <w:tcPr>
                  <w:tcW w:w="235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105</w:t>
                  </w:r>
                </w:p>
              </w:tc>
              <w:tc>
                <w:tcPr>
                  <w:tcW w:w="1998"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70</w:t>
                  </w:r>
                </w:p>
              </w:tc>
              <w:tc>
                <w:tcPr>
                  <w:tcW w:w="1374"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超标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57" w:type="dxa"/>
                  <w:left w:w="108" w:type="dxa"/>
                  <w:bottom w:w="57" w:type="dxa"/>
                  <w:right w:w="108" w:type="dxa"/>
                </w:tblCellMar>
              </w:tblPrEx>
              <w:trPr>
                <w:cantSplit/>
                <w:trHeight w:val="340" w:hRule="atLeast"/>
                <w:jc w:val="center"/>
              </w:trPr>
              <w:tc>
                <w:tcPr>
                  <w:tcW w:w="1242"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PM</w:t>
                  </w:r>
                  <w:r>
                    <w:rPr>
                      <w:rFonts w:ascii="Times New Roman" w:hAnsi="Times New Roman" w:cs="Times New Roman"/>
                      <w:kern w:val="0"/>
                      <w:sz w:val="21"/>
                      <w:szCs w:val="21"/>
                      <w:vertAlign w:val="subscript"/>
                    </w:rPr>
                    <w:t>2.5</w:t>
                  </w:r>
                </w:p>
              </w:tc>
              <w:tc>
                <w:tcPr>
                  <w:tcW w:w="209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年平均质量浓度</w:t>
                  </w:r>
                </w:p>
              </w:tc>
              <w:tc>
                <w:tcPr>
                  <w:tcW w:w="235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61</w:t>
                  </w:r>
                </w:p>
              </w:tc>
              <w:tc>
                <w:tcPr>
                  <w:tcW w:w="1998"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35</w:t>
                  </w:r>
                </w:p>
              </w:tc>
              <w:tc>
                <w:tcPr>
                  <w:tcW w:w="1374"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超标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57" w:type="dxa"/>
                  <w:left w:w="108" w:type="dxa"/>
                  <w:bottom w:w="57" w:type="dxa"/>
                  <w:right w:w="108" w:type="dxa"/>
                </w:tblCellMar>
              </w:tblPrEx>
              <w:trPr>
                <w:cantSplit/>
                <w:trHeight w:val="340" w:hRule="atLeast"/>
                <w:jc w:val="center"/>
              </w:trPr>
              <w:tc>
                <w:tcPr>
                  <w:tcW w:w="1242"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SO</w:t>
                  </w:r>
                  <w:r>
                    <w:rPr>
                      <w:rFonts w:ascii="Times New Roman" w:hAnsi="Times New Roman" w:cs="Times New Roman"/>
                      <w:kern w:val="0"/>
                      <w:sz w:val="21"/>
                      <w:szCs w:val="21"/>
                      <w:vertAlign w:val="subscript"/>
                    </w:rPr>
                    <w:t>2</w:t>
                  </w:r>
                </w:p>
              </w:tc>
              <w:tc>
                <w:tcPr>
                  <w:tcW w:w="209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年平均质量浓度</w:t>
                  </w:r>
                </w:p>
              </w:tc>
              <w:tc>
                <w:tcPr>
                  <w:tcW w:w="235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19</w:t>
                  </w:r>
                </w:p>
              </w:tc>
              <w:tc>
                <w:tcPr>
                  <w:tcW w:w="1998"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60</w:t>
                  </w:r>
                </w:p>
              </w:tc>
              <w:tc>
                <w:tcPr>
                  <w:tcW w:w="1374"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57" w:type="dxa"/>
                  <w:left w:w="108" w:type="dxa"/>
                  <w:bottom w:w="57" w:type="dxa"/>
                  <w:right w:w="108" w:type="dxa"/>
                </w:tblCellMar>
              </w:tblPrEx>
              <w:trPr>
                <w:cantSplit/>
                <w:trHeight w:val="340" w:hRule="atLeast"/>
                <w:jc w:val="center"/>
              </w:trPr>
              <w:tc>
                <w:tcPr>
                  <w:tcW w:w="1242"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NO</w:t>
                  </w:r>
                  <w:r>
                    <w:rPr>
                      <w:rFonts w:ascii="Times New Roman" w:hAnsi="Times New Roman" w:cs="Times New Roman"/>
                      <w:kern w:val="0"/>
                      <w:sz w:val="21"/>
                      <w:szCs w:val="21"/>
                      <w:vertAlign w:val="subscript"/>
                    </w:rPr>
                    <w:t>2</w:t>
                  </w:r>
                </w:p>
              </w:tc>
              <w:tc>
                <w:tcPr>
                  <w:tcW w:w="209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年平均质量浓度</w:t>
                  </w:r>
                </w:p>
              </w:tc>
              <w:tc>
                <w:tcPr>
                  <w:tcW w:w="235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49</w:t>
                  </w:r>
                </w:p>
              </w:tc>
              <w:tc>
                <w:tcPr>
                  <w:tcW w:w="1998"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40</w:t>
                  </w:r>
                </w:p>
              </w:tc>
              <w:tc>
                <w:tcPr>
                  <w:tcW w:w="1374"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超标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57" w:type="dxa"/>
                  <w:left w:w="108" w:type="dxa"/>
                  <w:bottom w:w="57" w:type="dxa"/>
                  <w:right w:w="108" w:type="dxa"/>
                </w:tblCellMar>
              </w:tblPrEx>
              <w:trPr>
                <w:cantSplit/>
                <w:trHeight w:val="340" w:hRule="atLeast"/>
                <w:jc w:val="center"/>
              </w:trPr>
              <w:tc>
                <w:tcPr>
                  <w:tcW w:w="1242"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CO</w:t>
                  </w:r>
                </w:p>
              </w:tc>
              <w:tc>
                <w:tcPr>
                  <w:tcW w:w="209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第95百分位浓度</w:t>
                  </w:r>
                </w:p>
              </w:tc>
              <w:tc>
                <w:tcPr>
                  <w:tcW w:w="235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2.3mg/m</w:t>
                  </w:r>
                  <w:r>
                    <w:rPr>
                      <w:rFonts w:ascii="Times New Roman" w:hAnsi="Times New Roman" w:cs="Times New Roman"/>
                      <w:bCs/>
                      <w:kern w:val="0"/>
                      <w:sz w:val="21"/>
                      <w:szCs w:val="21"/>
                      <w:vertAlign w:val="superscript"/>
                    </w:rPr>
                    <w:t>3</w:t>
                  </w:r>
                </w:p>
              </w:tc>
              <w:tc>
                <w:tcPr>
                  <w:tcW w:w="1998"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4mg/m</w:t>
                  </w:r>
                  <w:r>
                    <w:rPr>
                      <w:rFonts w:ascii="Times New Roman" w:hAnsi="Times New Roman" w:cs="Times New Roman"/>
                      <w:bCs/>
                      <w:kern w:val="0"/>
                      <w:sz w:val="21"/>
                      <w:szCs w:val="21"/>
                      <w:vertAlign w:val="superscript"/>
                    </w:rPr>
                    <w:t>3</w:t>
                  </w:r>
                </w:p>
              </w:tc>
              <w:tc>
                <w:tcPr>
                  <w:tcW w:w="1374"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57" w:type="dxa"/>
                  <w:left w:w="108" w:type="dxa"/>
                  <w:bottom w:w="57" w:type="dxa"/>
                  <w:right w:w="108" w:type="dxa"/>
                </w:tblCellMar>
              </w:tblPrEx>
              <w:trPr>
                <w:cantSplit/>
                <w:trHeight w:val="340" w:hRule="atLeast"/>
                <w:jc w:val="center"/>
              </w:trPr>
              <w:tc>
                <w:tcPr>
                  <w:tcW w:w="1242"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O</w:t>
                  </w:r>
                  <w:r>
                    <w:rPr>
                      <w:rFonts w:ascii="Times New Roman" w:hAnsi="Times New Roman" w:cs="Times New Roman"/>
                      <w:kern w:val="0"/>
                      <w:sz w:val="21"/>
                      <w:szCs w:val="21"/>
                      <w:vertAlign w:val="subscript"/>
                    </w:rPr>
                    <w:t>3</w:t>
                  </w:r>
                </w:p>
              </w:tc>
              <w:tc>
                <w:tcPr>
                  <w:tcW w:w="209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第90百分位浓度</w:t>
                  </w:r>
                </w:p>
              </w:tc>
              <w:tc>
                <w:tcPr>
                  <w:tcW w:w="2359"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202</w:t>
                  </w:r>
                </w:p>
              </w:tc>
              <w:tc>
                <w:tcPr>
                  <w:tcW w:w="1998"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bCs/>
                      <w:kern w:val="0"/>
                      <w:sz w:val="21"/>
                      <w:szCs w:val="21"/>
                    </w:rPr>
                  </w:pPr>
                  <w:r>
                    <w:rPr>
                      <w:rFonts w:ascii="Times New Roman" w:hAnsi="Times New Roman" w:cs="Times New Roman"/>
                      <w:bCs/>
                      <w:kern w:val="0"/>
                      <w:sz w:val="21"/>
                      <w:szCs w:val="21"/>
                    </w:rPr>
                    <w:t>160</w:t>
                  </w:r>
                </w:p>
              </w:tc>
              <w:tc>
                <w:tcPr>
                  <w:tcW w:w="1374" w:type="dxa"/>
                  <w:tcBorders>
                    <w:tl2br w:val="nil"/>
                    <w:tr2bl w:val="nil"/>
                  </w:tcBorders>
                  <w:tcMar>
                    <w:top w:w="57" w:type="dxa"/>
                    <w:left w:w="85" w:type="dxa"/>
                    <w:bottom w:w="57" w:type="dxa"/>
                    <w:right w:w="85" w:type="dxa"/>
                  </w:tcMar>
                  <w:vAlign w:val="center"/>
                </w:tcPr>
                <w:p>
                  <w:pPr>
                    <w:widowControl/>
                    <w:autoSpaceDE w:val="0"/>
                    <w:autoSpaceDN w:val="0"/>
                    <w:adjustRightInd w:val="0"/>
                    <w:snapToGrid w:val="0"/>
                    <w:spacing w:line="288" w:lineRule="auto"/>
                    <w:jc w:val="center"/>
                    <w:textAlignment w:val="baseline"/>
                    <w:rPr>
                      <w:rFonts w:ascii="Times New Roman" w:hAnsi="Times New Roman" w:cs="Times New Roman"/>
                      <w:kern w:val="0"/>
                      <w:sz w:val="21"/>
                      <w:szCs w:val="21"/>
                    </w:rPr>
                  </w:pPr>
                  <w:r>
                    <w:rPr>
                      <w:rFonts w:ascii="Times New Roman" w:hAnsi="Times New Roman" w:cs="Times New Roman"/>
                      <w:kern w:val="0"/>
                      <w:sz w:val="21"/>
                      <w:szCs w:val="21"/>
                    </w:rPr>
                    <w:t>超标</w:t>
                  </w:r>
                </w:p>
              </w:tc>
            </w:tr>
          </w:tbl>
          <w:p>
            <w:pPr>
              <w:widowControl/>
              <w:spacing w:line="360" w:lineRule="auto"/>
              <w:ind w:firstLine="600"/>
              <w:rPr>
                <w:rFonts w:ascii="Times New Roman" w:hAnsi="Times New Roman" w:cs="Times New Roman"/>
                <w:sz w:val="24"/>
                <w:szCs w:val="24"/>
              </w:rPr>
            </w:pPr>
            <w:r>
              <w:rPr>
                <w:rFonts w:ascii="Times New Roman" w:hAnsi="Times New Roman" w:cs="Times New Roman"/>
                <w:sz w:val="24"/>
                <w:szCs w:val="24"/>
              </w:rPr>
              <w:t>根据2018年新乡市环境状况公报，项目所在区域除了SO</w:t>
            </w:r>
            <w:r>
              <w:rPr>
                <w:rFonts w:ascii="Times New Roman" w:hAnsi="Times New Roman" w:cs="Times New Roman"/>
                <w:sz w:val="24"/>
                <w:szCs w:val="24"/>
                <w:vertAlign w:val="subscript"/>
              </w:rPr>
              <w:t>2</w:t>
            </w:r>
            <w:r>
              <w:rPr>
                <w:rFonts w:ascii="Times New Roman" w:hAnsi="Times New Roman" w:cs="Times New Roman"/>
                <w:sz w:val="24"/>
                <w:szCs w:val="24"/>
              </w:rPr>
              <w:t>年均值、CO 第95 百分位数满足《环境空气质量标准》（GB3095-2012）二级标准要求外，PM</w:t>
            </w:r>
            <w:r>
              <w:rPr>
                <w:rFonts w:ascii="Times New Roman" w:hAnsi="Times New Roman" w:cs="Times New Roman"/>
                <w:sz w:val="24"/>
                <w:szCs w:val="24"/>
                <w:vertAlign w:val="subscript"/>
              </w:rPr>
              <w:t>10</w:t>
            </w:r>
            <w:r>
              <w:rPr>
                <w:rFonts w:ascii="Times New Roman" w:hAnsi="Times New Roman" w:cs="Times New Roman"/>
                <w:sz w:val="24"/>
                <w:szCs w:val="24"/>
              </w:rPr>
              <w:t>、PM</w:t>
            </w:r>
            <w:r>
              <w:rPr>
                <w:rFonts w:ascii="Times New Roman" w:hAnsi="Times New Roman" w:cs="Times New Roman"/>
                <w:sz w:val="24"/>
                <w:szCs w:val="24"/>
                <w:vertAlign w:val="subscript"/>
              </w:rPr>
              <w:t>2.5</w:t>
            </w:r>
            <w:r>
              <w:rPr>
                <w:rFonts w:ascii="Times New Roman" w:hAnsi="Times New Roman" w:cs="Times New Roman"/>
                <w:sz w:val="24"/>
                <w:szCs w:val="24"/>
              </w:rPr>
              <w:t>、NO</w:t>
            </w:r>
            <w:r>
              <w:rPr>
                <w:rFonts w:ascii="Times New Roman" w:hAnsi="Times New Roman" w:cs="Times New Roman"/>
                <w:sz w:val="24"/>
                <w:szCs w:val="24"/>
                <w:vertAlign w:val="subscript"/>
              </w:rPr>
              <w:t>2</w:t>
            </w:r>
            <w:r>
              <w:rPr>
                <w:rFonts w:ascii="Times New Roman" w:hAnsi="Times New Roman" w:cs="Times New Roman"/>
                <w:sz w:val="24"/>
                <w:szCs w:val="24"/>
              </w:rPr>
              <w:t>年均值及O</w:t>
            </w:r>
            <w:r>
              <w:rPr>
                <w:rFonts w:ascii="Times New Roman" w:hAnsi="Times New Roman" w:cs="Times New Roman"/>
                <w:sz w:val="24"/>
                <w:szCs w:val="24"/>
                <w:vertAlign w:val="subscript"/>
              </w:rPr>
              <w:t>3</w:t>
            </w:r>
            <w:r>
              <w:rPr>
                <w:rFonts w:ascii="Times New Roman" w:hAnsi="Times New Roman" w:cs="Times New Roman"/>
                <w:sz w:val="24"/>
                <w:szCs w:val="24"/>
              </w:rPr>
              <w:t>第90 百分位数均无法满足GB3095-2012 中二级标准要求。本项目所在评价区域为不达标区。</w:t>
            </w:r>
          </w:p>
          <w:p>
            <w:pPr>
              <w:widowControl/>
              <w:spacing w:line="360" w:lineRule="auto"/>
              <w:ind w:firstLine="600"/>
              <w:rPr>
                <w:rFonts w:ascii="Times New Roman" w:hAnsi="Times New Roman" w:cs="Times New Roman"/>
                <w:b/>
                <w:sz w:val="24"/>
                <w:szCs w:val="28"/>
              </w:rPr>
            </w:pPr>
            <w:r>
              <w:rPr>
                <w:rFonts w:ascii="Times New Roman" w:hAnsi="Times New Roman" w:cs="Times New Roman"/>
                <w:sz w:val="24"/>
                <w:szCs w:val="24"/>
              </w:rPr>
              <w:t>目前，新乡市正在实施《新乡市蓝天工程行动计划》、《新乡市2019年大气污染防治攻坚战实施方案》、《</w:t>
            </w:r>
            <w:r>
              <w:rPr>
                <w:rFonts w:hint="eastAsia" w:ascii="Times New Roman" w:hAnsi="Times New Roman" w:cs="Times New Roman"/>
                <w:sz w:val="24"/>
                <w:szCs w:val="24"/>
              </w:rPr>
              <w:t>“</w:t>
            </w:r>
            <w:r>
              <w:rPr>
                <w:rFonts w:ascii="Times New Roman" w:hAnsi="Times New Roman" w:cs="Times New Roman"/>
                <w:sz w:val="24"/>
                <w:szCs w:val="24"/>
              </w:rPr>
              <w:t>十三五</w:t>
            </w:r>
            <w:r>
              <w:rPr>
                <w:rFonts w:hint="eastAsia" w:ascii="Times New Roman" w:hAnsi="Times New Roman" w:cs="Times New Roman"/>
                <w:sz w:val="24"/>
                <w:szCs w:val="24"/>
              </w:rPr>
              <w:t>”</w:t>
            </w:r>
            <w:r>
              <w:rPr>
                <w:rFonts w:ascii="Times New Roman" w:hAnsi="Times New Roman" w:cs="Times New Roman"/>
                <w:sz w:val="24"/>
                <w:szCs w:val="24"/>
              </w:rPr>
              <w:t>挥发性有机物污染防治工作方案》、《新乡市环境污染防治攻坚战三年行动实施方案（2018-2020年）》等一系列措施，将不断改善区域大气环境质量。预计2020年可以达到《新乡市环境污染防治攻坚战三年行动实施方案（2018-2020年）》中：</w:t>
            </w:r>
            <w:r>
              <w:rPr>
                <w:rFonts w:hint="eastAsia" w:ascii="Times New Roman" w:hAnsi="Times New Roman" w:cs="Times New Roman"/>
                <w:sz w:val="24"/>
                <w:szCs w:val="24"/>
              </w:rPr>
              <w:t>“</w:t>
            </w:r>
            <w:r>
              <w:rPr>
                <w:rFonts w:ascii="Times New Roman" w:hAnsi="Times New Roman" w:cs="Times New Roman"/>
                <w:sz w:val="24"/>
                <w:szCs w:val="24"/>
              </w:rPr>
              <w:t>全市PM</w:t>
            </w:r>
            <w:r>
              <w:rPr>
                <w:rFonts w:ascii="Times New Roman" w:hAnsi="Times New Roman" w:cs="Times New Roman"/>
                <w:sz w:val="24"/>
                <w:szCs w:val="24"/>
                <w:vertAlign w:val="subscript"/>
              </w:rPr>
              <w:t>2.5</w:t>
            </w:r>
            <w:r>
              <w:rPr>
                <w:rFonts w:ascii="Times New Roman" w:hAnsi="Times New Roman" w:cs="Times New Roman"/>
                <w:sz w:val="24"/>
                <w:szCs w:val="24"/>
              </w:rPr>
              <w:t>年均浓度达到55微克/立方米以下，PM</w:t>
            </w:r>
            <w:r>
              <w:rPr>
                <w:rFonts w:ascii="Times New Roman" w:hAnsi="Times New Roman" w:cs="Times New Roman"/>
                <w:sz w:val="24"/>
                <w:szCs w:val="24"/>
                <w:vertAlign w:val="subscript"/>
              </w:rPr>
              <w:t>10</w:t>
            </w:r>
            <w:r>
              <w:rPr>
                <w:rFonts w:ascii="Times New Roman" w:hAnsi="Times New Roman" w:cs="Times New Roman"/>
                <w:sz w:val="24"/>
                <w:szCs w:val="24"/>
              </w:rPr>
              <w:t>年均浓度达到101微克/立方米以下，全年优良天数比例达到66%以上</w:t>
            </w:r>
            <w:r>
              <w:rPr>
                <w:rFonts w:hint="eastAsia" w:ascii="Times New Roman" w:hAnsi="Times New Roman" w:cs="Times New Roman"/>
                <w:sz w:val="24"/>
                <w:szCs w:val="24"/>
              </w:rPr>
              <w:t>”</w:t>
            </w:r>
            <w:r>
              <w:rPr>
                <w:rFonts w:ascii="Times New Roman" w:hAnsi="Times New Roman" w:cs="Times New Roman"/>
                <w:sz w:val="24"/>
                <w:szCs w:val="24"/>
              </w:rPr>
              <w:t>的目标要求。</w:t>
            </w:r>
          </w:p>
          <w:p>
            <w:pPr>
              <w:adjustRightInd w:val="0"/>
              <w:snapToGrid w:val="0"/>
              <w:spacing w:before="156" w:beforeLines="50" w:line="360" w:lineRule="auto"/>
              <w:rPr>
                <w:rFonts w:ascii="Times New Roman" w:hAnsi="Times New Roman" w:cs="Times New Roman"/>
                <w:b/>
                <w:sz w:val="24"/>
                <w:szCs w:val="24"/>
              </w:rPr>
            </w:pPr>
            <w:r>
              <w:rPr>
                <w:rFonts w:ascii="Times New Roman" w:hAnsi="Times New Roman" w:cs="Times New Roman"/>
                <w:b/>
                <w:sz w:val="24"/>
                <w:szCs w:val="24"/>
              </w:rPr>
              <w:t>2、地表水质量现状</w:t>
            </w:r>
          </w:p>
          <w:p>
            <w:pPr>
              <w:widowControl/>
              <w:spacing w:line="360" w:lineRule="auto"/>
              <w:ind w:firstLine="600"/>
              <w:rPr>
                <w:rFonts w:ascii="Times New Roman" w:hAnsi="Times New Roman" w:cs="Times New Roman"/>
                <w:sz w:val="24"/>
                <w:szCs w:val="24"/>
              </w:rPr>
            </w:pPr>
            <w:r>
              <w:rPr>
                <w:rFonts w:hint="eastAsia" w:ascii="Times New Roman" w:hAnsi="Times New Roman" w:cs="Times New Roman"/>
                <w:sz w:val="24"/>
                <w:szCs w:val="24"/>
              </w:rPr>
              <w:t>本工程废水经厂内污水处理设施处理后，进入小店污水处理厂进一步处理后外排。经调查，小店污水处理厂现状纳污水体为大沙河，距离污水处理厂排污口下游最近的断面为大沙河水花堡桥断面。根据新乡市水功能区划，大沙河水花堡桥断面</w:t>
            </w:r>
            <w:r>
              <w:rPr>
                <w:rFonts w:ascii="Times New Roman" w:hAnsi="Times New Roman" w:cs="Times New Roman"/>
                <w:sz w:val="24"/>
                <w:szCs w:val="24"/>
              </w:rPr>
              <w:t>2019</w:t>
            </w:r>
            <w:r>
              <w:rPr>
                <w:rFonts w:hint="eastAsia" w:ascii="Times New Roman" w:hAnsi="Times New Roman" w:cs="Times New Roman"/>
                <w:sz w:val="24"/>
                <w:szCs w:val="24"/>
              </w:rPr>
              <w:t>年控制断面水质要求为：</w:t>
            </w:r>
            <w:r>
              <w:rPr>
                <w:rFonts w:ascii="Times New Roman" w:hAnsi="Times New Roman" w:cs="Times New Roman"/>
                <w:sz w:val="24"/>
                <w:szCs w:val="24"/>
              </w:rPr>
              <w:t>COD 30mg/L</w:t>
            </w:r>
            <w:r>
              <w:rPr>
                <w:rFonts w:hint="eastAsia" w:ascii="Times New Roman" w:hAnsi="Times New Roman" w:cs="Times New Roman"/>
                <w:sz w:val="24"/>
                <w:szCs w:val="24"/>
              </w:rPr>
              <w:t>、氨氮</w:t>
            </w:r>
            <w:r>
              <w:rPr>
                <w:rFonts w:ascii="Times New Roman" w:hAnsi="Times New Roman" w:cs="Times New Roman"/>
                <w:sz w:val="24"/>
                <w:szCs w:val="24"/>
              </w:rPr>
              <w:t>1.5mg/L</w:t>
            </w:r>
            <w:r>
              <w:rPr>
                <w:rFonts w:hint="eastAsia" w:ascii="Times New Roman" w:hAnsi="Times New Roman" w:cs="Times New Roman"/>
                <w:sz w:val="24"/>
                <w:szCs w:val="24"/>
              </w:rPr>
              <w:t>、总磷</w:t>
            </w:r>
            <w:r>
              <w:rPr>
                <w:rFonts w:ascii="Times New Roman" w:hAnsi="Times New Roman" w:cs="Times New Roman"/>
                <w:sz w:val="24"/>
                <w:szCs w:val="24"/>
              </w:rPr>
              <w:t>0.3mg/L</w:t>
            </w:r>
            <w:r>
              <w:rPr>
                <w:rFonts w:hint="eastAsia" w:ascii="Times New Roman" w:hAnsi="Times New Roman" w:cs="Times New Roman"/>
                <w:sz w:val="24"/>
                <w:szCs w:val="24"/>
              </w:rPr>
              <w:t>。大沙河进入安阳市境内后更名为柳青河，在濮阳境内汇入金堤河，最终进入黄河，属黄河流域。大沙河地表水功能区划为</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hint="eastAsia" w:ascii="Times New Roman" w:hAnsi="Times New Roman" w:cs="Times New Roman"/>
                <w:sz w:val="24"/>
                <w:szCs w:val="24"/>
              </w:rPr>
              <w:instrText xml:space="preserve">= 4 \* ROMAN</w:instrText>
            </w: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Pr>
                <w:rFonts w:ascii="Times New Roman" w:hAnsi="Times New Roman" w:cs="Times New Roman"/>
                <w:sz w:val="24"/>
                <w:szCs w:val="24"/>
              </w:rPr>
              <w:t>IV</w:t>
            </w:r>
            <w:r>
              <w:rPr>
                <w:rFonts w:ascii="Times New Roman" w:hAnsi="Times New Roman" w:cs="Times New Roman"/>
                <w:sz w:val="24"/>
                <w:szCs w:val="24"/>
              </w:rPr>
              <w:fldChar w:fldCharType="end"/>
            </w:r>
            <w:r>
              <w:rPr>
                <w:rFonts w:hint="eastAsia" w:ascii="Times New Roman" w:hAnsi="Times New Roman" w:cs="Times New Roman"/>
                <w:sz w:val="24"/>
                <w:szCs w:val="24"/>
              </w:rPr>
              <w:t>类水体。</w:t>
            </w:r>
          </w:p>
          <w:p>
            <w:pPr>
              <w:widowControl/>
              <w:spacing w:line="360" w:lineRule="auto"/>
              <w:ind w:firstLine="600"/>
              <w:rPr>
                <w:rFonts w:ascii="Times New Roman" w:hAnsi="Times New Roman" w:cs="Times New Roman"/>
                <w:sz w:val="24"/>
                <w:szCs w:val="24"/>
              </w:rPr>
            </w:pPr>
            <w:r>
              <w:rPr>
                <w:rFonts w:ascii="Times New Roman" w:hAnsi="Times New Roman" w:cs="Times New Roman"/>
                <w:sz w:val="24"/>
                <w:szCs w:val="24"/>
              </w:rPr>
              <w:t>为反映纳污水体大沙河的环境质量现状，本次评价引用新乡市环境监测站编制的例行监测（2018年12月～2019年11月）中大沙河水花堡断面监测数据来进行说明，详见表</w:t>
            </w:r>
            <w:r>
              <w:rPr>
                <w:rFonts w:hint="eastAsia" w:ascii="Times New Roman" w:hAnsi="Times New Roman" w:cs="Times New Roman"/>
                <w:sz w:val="24"/>
                <w:szCs w:val="24"/>
              </w:rPr>
              <w:t>22</w:t>
            </w:r>
            <w:r>
              <w:rPr>
                <w:rFonts w:ascii="Times New Roman" w:hAnsi="Times New Roman" w:cs="Times New Roman"/>
                <w:sz w:val="24"/>
                <w:szCs w:val="24"/>
              </w:rPr>
              <w:t>：</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22</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大沙河水花堡桥断面水质例行监测结果统计一览表   单位：mg/L</w:t>
            </w:r>
          </w:p>
          <w:tbl>
            <w:tblPr>
              <w:tblStyle w:val="28"/>
              <w:tblW w:w="9077" w:type="dxa"/>
              <w:tblInd w:w="10" w:type="dxa"/>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autofit"/>
              <w:tblCellMar>
                <w:top w:w="0" w:type="dxa"/>
                <w:left w:w="108" w:type="dxa"/>
                <w:bottom w:w="0" w:type="dxa"/>
                <w:right w:w="108" w:type="dxa"/>
              </w:tblCellMar>
            </w:tblPr>
            <w:tblGrid>
              <w:gridCol w:w="1234"/>
              <w:gridCol w:w="1447"/>
              <w:gridCol w:w="948"/>
              <w:gridCol w:w="1109"/>
              <w:gridCol w:w="1146"/>
              <w:gridCol w:w="1062"/>
              <w:gridCol w:w="1167"/>
              <w:gridCol w:w="964"/>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blHeader/>
              </w:trPr>
              <w:tc>
                <w:tcPr>
                  <w:tcW w:w="680" w:type="pct"/>
                  <w:vMerge w:val="restart"/>
                  <w:tcBorders>
                    <w:tl2br w:val="nil"/>
                    <w:tr2bl w:val="nil"/>
                  </w:tcBorders>
                  <w:vAlign w:val="center"/>
                </w:tcPr>
                <w:p>
                  <w:pPr>
                    <w:pStyle w:val="97"/>
                    <w:spacing w:line="288" w:lineRule="auto"/>
                    <w:rPr>
                      <w:rFonts w:ascii="Times New Roman" w:hAnsi="Times New Roman" w:cs="Times New Roman"/>
                      <w:b/>
                    </w:rPr>
                  </w:pPr>
                  <w:r>
                    <w:rPr>
                      <w:rFonts w:ascii="Times New Roman" w:hAnsi="Times New Roman" w:cs="Times New Roman"/>
                      <w:b/>
                    </w:rPr>
                    <w:t>监测项目</w:t>
                  </w:r>
                </w:p>
              </w:tc>
              <w:tc>
                <w:tcPr>
                  <w:tcW w:w="797" w:type="pct"/>
                  <w:vMerge w:val="restart"/>
                  <w:tcBorders>
                    <w:tl2br w:val="nil"/>
                    <w:tr2bl w:val="nil"/>
                  </w:tcBorders>
                  <w:vAlign w:val="center"/>
                </w:tcPr>
                <w:p>
                  <w:pPr>
                    <w:pStyle w:val="97"/>
                    <w:spacing w:line="288" w:lineRule="auto"/>
                    <w:rPr>
                      <w:rFonts w:ascii="Times New Roman" w:hAnsi="Times New Roman" w:cs="Times New Roman"/>
                      <w:b/>
                    </w:rPr>
                  </w:pPr>
                  <w:r>
                    <w:rPr>
                      <w:rFonts w:ascii="Times New Roman" w:hAnsi="Times New Roman" w:cs="Times New Roman"/>
                      <w:b/>
                    </w:rPr>
                    <w:t>监测时间</w:t>
                  </w:r>
                </w:p>
              </w:tc>
              <w:tc>
                <w:tcPr>
                  <w:tcW w:w="1764" w:type="pct"/>
                  <w:gridSpan w:val="3"/>
                  <w:tcBorders>
                    <w:tl2br w:val="nil"/>
                    <w:tr2bl w:val="nil"/>
                  </w:tcBorders>
                  <w:vAlign w:val="center"/>
                </w:tcPr>
                <w:p>
                  <w:pPr>
                    <w:pStyle w:val="97"/>
                    <w:spacing w:line="288" w:lineRule="auto"/>
                    <w:rPr>
                      <w:rFonts w:ascii="Times New Roman" w:hAnsi="Times New Roman" w:cs="Times New Roman"/>
                      <w:b/>
                    </w:rPr>
                  </w:pPr>
                  <w:r>
                    <w:rPr>
                      <w:rFonts w:ascii="Times New Roman" w:hAnsi="Times New Roman" w:cs="Times New Roman"/>
                      <w:b/>
                    </w:rPr>
                    <w:t>监测结果（mg/L）</w:t>
                  </w:r>
                </w:p>
              </w:tc>
              <w:tc>
                <w:tcPr>
                  <w:tcW w:w="1759" w:type="pct"/>
                  <w:gridSpan w:val="3"/>
                  <w:tcBorders>
                    <w:tl2br w:val="nil"/>
                    <w:tr2bl w:val="nil"/>
                  </w:tcBorders>
                  <w:vAlign w:val="center"/>
                </w:tcPr>
                <w:p>
                  <w:pPr>
                    <w:pStyle w:val="97"/>
                    <w:spacing w:line="288" w:lineRule="auto"/>
                    <w:rPr>
                      <w:rFonts w:ascii="Times New Roman" w:hAnsi="Times New Roman" w:cs="Times New Roman"/>
                      <w:b/>
                    </w:rPr>
                  </w:pPr>
                  <w:r>
                    <w:rPr>
                      <w:rFonts w:ascii="Times New Roman" w:hAnsi="Times New Roman" w:cs="Times New Roman"/>
                      <w:b/>
                    </w:rPr>
                    <w:t>污染指数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blHeader/>
              </w:trPr>
              <w:tc>
                <w:tcPr>
                  <w:tcW w:w="680" w:type="pct"/>
                  <w:vMerge w:val="continue"/>
                  <w:tcBorders>
                    <w:tl2br w:val="nil"/>
                    <w:tr2bl w:val="nil"/>
                  </w:tcBorders>
                  <w:vAlign w:val="center"/>
                </w:tcPr>
                <w:p>
                  <w:pPr>
                    <w:pStyle w:val="97"/>
                    <w:spacing w:line="288" w:lineRule="auto"/>
                    <w:rPr>
                      <w:rFonts w:ascii="Times New Roman" w:hAnsi="Times New Roman" w:cs="Times New Roman"/>
                      <w:b/>
                    </w:rPr>
                  </w:pPr>
                </w:p>
              </w:tc>
              <w:tc>
                <w:tcPr>
                  <w:tcW w:w="797" w:type="pct"/>
                  <w:vMerge w:val="continue"/>
                  <w:tcBorders>
                    <w:tl2br w:val="nil"/>
                    <w:tr2bl w:val="nil"/>
                  </w:tcBorders>
                  <w:vAlign w:val="center"/>
                </w:tcPr>
                <w:p>
                  <w:pPr>
                    <w:pStyle w:val="97"/>
                    <w:spacing w:line="288" w:lineRule="auto"/>
                    <w:rPr>
                      <w:rFonts w:ascii="Times New Roman" w:hAnsi="Times New Roman" w:cs="Times New Roman"/>
                      <w:b/>
                    </w:rPr>
                  </w:pPr>
                </w:p>
              </w:tc>
              <w:tc>
                <w:tcPr>
                  <w:tcW w:w="522" w:type="pct"/>
                  <w:tcBorders>
                    <w:tl2br w:val="nil"/>
                    <w:tr2bl w:val="nil"/>
                  </w:tcBorders>
                  <w:vAlign w:val="center"/>
                </w:tcPr>
                <w:p>
                  <w:pPr>
                    <w:pStyle w:val="97"/>
                    <w:spacing w:line="288" w:lineRule="auto"/>
                    <w:rPr>
                      <w:rFonts w:ascii="Times New Roman" w:hAnsi="Times New Roman" w:cs="Times New Roman"/>
                      <w:b/>
                    </w:rPr>
                  </w:pPr>
                  <w:r>
                    <w:rPr>
                      <w:rFonts w:ascii="Times New Roman" w:hAnsi="Times New Roman" w:cs="Times New Roman"/>
                      <w:b/>
                    </w:rPr>
                    <w:t>COD</w:t>
                  </w:r>
                </w:p>
              </w:tc>
              <w:tc>
                <w:tcPr>
                  <w:tcW w:w="611" w:type="pct"/>
                  <w:tcBorders>
                    <w:tl2br w:val="nil"/>
                    <w:tr2bl w:val="nil"/>
                  </w:tcBorders>
                  <w:vAlign w:val="center"/>
                </w:tcPr>
                <w:p>
                  <w:pPr>
                    <w:pStyle w:val="97"/>
                    <w:spacing w:line="288" w:lineRule="auto"/>
                    <w:rPr>
                      <w:rFonts w:ascii="Times New Roman" w:hAnsi="Times New Roman" w:cs="Times New Roman"/>
                      <w:b/>
                    </w:rPr>
                  </w:pPr>
                  <w:r>
                    <w:rPr>
                      <w:rFonts w:ascii="Times New Roman" w:hAnsi="Times New Roman" w:cs="Times New Roman"/>
                      <w:b/>
                    </w:rPr>
                    <w:t>氨氮</w:t>
                  </w:r>
                </w:p>
              </w:tc>
              <w:tc>
                <w:tcPr>
                  <w:tcW w:w="631" w:type="pct"/>
                  <w:tcBorders>
                    <w:tl2br w:val="nil"/>
                    <w:tr2bl w:val="nil"/>
                  </w:tcBorders>
                  <w:vAlign w:val="center"/>
                </w:tcPr>
                <w:p>
                  <w:pPr>
                    <w:pStyle w:val="97"/>
                    <w:spacing w:line="288" w:lineRule="auto"/>
                    <w:rPr>
                      <w:rFonts w:ascii="Times New Roman" w:hAnsi="Times New Roman" w:cs="Times New Roman"/>
                      <w:b/>
                    </w:rPr>
                  </w:pPr>
                  <w:r>
                    <w:rPr>
                      <w:rFonts w:ascii="Times New Roman" w:hAnsi="Times New Roman" w:cs="Times New Roman"/>
                      <w:b/>
                    </w:rPr>
                    <w:t>总磷</w:t>
                  </w:r>
                </w:p>
              </w:tc>
              <w:tc>
                <w:tcPr>
                  <w:tcW w:w="585" w:type="pct"/>
                  <w:tcBorders>
                    <w:tl2br w:val="nil"/>
                    <w:tr2bl w:val="nil"/>
                  </w:tcBorders>
                  <w:vAlign w:val="center"/>
                </w:tcPr>
                <w:p>
                  <w:pPr>
                    <w:pStyle w:val="97"/>
                    <w:spacing w:line="288" w:lineRule="auto"/>
                    <w:rPr>
                      <w:rFonts w:ascii="Times New Roman" w:hAnsi="Times New Roman" w:cs="Times New Roman"/>
                      <w:b/>
                    </w:rPr>
                  </w:pPr>
                  <w:r>
                    <w:rPr>
                      <w:rFonts w:ascii="Times New Roman" w:hAnsi="Times New Roman" w:cs="Times New Roman"/>
                      <w:b/>
                    </w:rPr>
                    <w:t>COD</w:t>
                  </w:r>
                </w:p>
              </w:tc>
              <w:tc>
                <w:tcPr>
                  <w:tcW w:w="643" w:type="pct"/>
                  <w:tcBorders>
                    <w:tl2br w:val="nil"/>
                    <w:tr2bl w:val="nil"/>
                  </w:tcBorders>
                  <w:vAlign w:val="center"/>
                </w:tcPr>
                <w:p>
                  <w:pPr>
                    <w:pStyle w:val="97"/>
                    <w:spacing w:line="288" w:lineRule="auto"/>
                    <w:rPr>
                      <w:rFonts w:ascii="Times New Roman" w:hAnsi="Times New Roman" w:cs="Times New Roman"/>
                      <w:b/>
                    </w:rPr>
                  </w:pPr>
                  <w:r>
                    <w:rPr>
                      <w:rFonts w:ascii="Times New Roman" w:hAnsi="Times New Roman" w:cs="Times New Roman"/>
                      <w:b/>
                    </w:rPr>
                    <w:t>氨氮</w:t>
                  </w:r>
                </w:p>
              </w:tc>
              <w:tc>
                <w:tcPr>
                  <w:tcW w:w="531" w:type="pct"/>
                  <w:tcBorders>
                    <w:tl2br w:val="nil"/>
                    <w:tr2bl w:val="nil"/>
                  </w:tcBorders>
                  <w:vAlign w:val="center"/>
                </w:tcPr>
                <w:p>
                  <w:pPr>
                    <w:pStyle w:val="97"/>
                    <w:spacing w:line="288" w:lineRule="auto"/>
                    <w:rPr>
                      <w:rFonts w:ascii="Times New Roman" w:hAnsi="Times New Roman" w:cs="Times New Roman"/>
                      <w:b/>
                    </w:rPr>
                  </w:pPr>
                  <w:r>
                    <w:rPr>
                      <w:rFonts w:ascii="Times New Roman" w:hAnsi="Times New Roman" w:cs="Times New Roman"/>
                      <w:b/>
                    </w:rPr>
                    <w:t>总磷</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restart"/>
                  <w:tcBorders>
                    <w:tl2br w:val="nil"/>
                    <w:tr2bl w:val="nil"/>
                  </w:tcBorders>
                  <w:vAlign w:val="center"/>
                </w:tcPr>
                <w:p>
                  <w:pPr>
                    <w:pStyle w:val="97"/>
                    <w:spacing w:line="288" w:lineRule="auto"/>
                    <w:rPr>
                      <w:rFonts w:ascii="Times New Roman" w:hAnsi="Times New Roman" w:cs="Times New Roman"/>
                    </w:rPr>
                  </w:pPr>
                  <w:bookmarkStart w:id="0" w:name="OLE_LINK1" w:colFirst="1" w:colLast="4"/>
                  <w:r>
                    <w:rPr>
                      <w:rFonts w:ascii="Times New Roman" w:hAnsi="Times New Roman" w:cs="Times New Roman"/>
                    </w:rPr>
                    <w:t>水花堡桥断面</w:t>
                  </w: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2018.12</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27.2</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0.24</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0.312</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0.91</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0.16</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1.04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2019.01</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23</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2.07</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0.36</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0.77</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1.38</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1.20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2019.02</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29.5</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0.45</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0.36</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0.98</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0.30</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1.20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2019.03</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21.36</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0.76</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0.27</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0.71</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0.51</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0.90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2019.04</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0.47</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0.33</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0.67</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0.31</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1.10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2019.05</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17.6</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0.34</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0.11</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0.59</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0.23</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2019.06</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18.9</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0.55</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0.33</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0.63</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0.37</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1.10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2019.07</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26.3</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0.46</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0.17</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0.88</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0.31</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0.57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2019.08</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19.28</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0.41</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0.13</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0.64</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0.27</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0.43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2019.09</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20.92</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0.69</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0.20</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0.70</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0.46</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2019.10</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0.37</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0.15</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0.67</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0.25</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2019.11</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22.9</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0.43</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0.22</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0.76</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0.29</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0.73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680" w:type="pct"/>
                  <w:vMerge w:val="continue"/>
                  <w:tcBorders>
                    <w:tl2br w:val="nil"/>
                    <w:tr2bl w:val="nil"/>
                  </w:tcBorders>
                  <w:vAlign w:val="center"/>
                </w:tcPr>
                <w:p>
                  <w:pPr>
                    <w:pStyle w:val="97"/>
                    <w:spacing w:line="288" w:lineRule="auto"/>
                    <w:rPr>
                      <w:rFonts w:ascii="Times New Roman" w:hAnsi="Times New Roman" w:cs="Times New Roman"/>
                      <w:b/>
                      <w:bCs/>
                    </w:rPr>
                  </w:pPr>
                </w:p>
              </w:tc>
              <w:tc>
                <w:tcPr>
                  <w:tcW w:w="797"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均值</w:t>
                  </w:r>
                </w:p>
              </w:tc>
              <w:tc>
                <w:tcPr>
                  <w:tcW w:w="522" w:type="pct"/>
                  <w:tcBorders>
                    <w:tl2br w:val="nil"/>
                    <w:tr2bl w:val="nil"/>
                  </w:tcBorders>
                  <w:vAlign w:val="center"/>
                </w:tcPr>
                <w:p>
                  <w:pPr>
                    <w:pStyle w:val="97"/>
                    <w:spacing w:line="288" w:lineRule="auto"/>
                    <w:rPr>
                      <w:rFonts w:ascii="Times New Roman" w:hAnsi="Times New Roman" w:cs="Times New Roman"/>
                    </w:rPr>
                  </w:pPr>
                  <w:r>
                    <w:rPr>
                      <w:rFonts w:hint="eastAsia" w:ascii="Times New Roman" w:hAnsi="Times New Roman" w:cs="Times New Roman"/>
                    </w:rPr>
                    <w:t>22.26</w:t>
                  </w:r>
                </w:p>
              </w:tc>
              <w:tc>
                <w:tcPr>
                  <w:tcW w:w="611" w:type="pct"/>
                  <w:tcBorders>
                    <w:tl2br w:val="nil"/>
                    <w:tr2bl w:val="nil"/>
                  </w:tcBorders>
                  <w:vAlign w:val="center"/>
                </w:tcPr>
                <w:p>
                  <w:pPr>
                    <w:pStyle w:val="97"/>
                    <w:spacing w:line="288" w:lineRule="auto"/>
                    <w:rPr>
                      <w:rFonts w:ascii="Times New Roman" w:hAnsi="Times New Roman" w:cs="Times New Roman"/>
                    </w:rPr>
                  </w:pPr>
                  <w:r>
                    <w:rPr>
                      <w:rFonts w:hint="eastAsia" w:ascii="Times New Roman" w:hAnsi="Times New Roman" w:cs="Times New Roman"/>
                    </w:rPr>
                    <w:t>0.60</w:t>
                  </w:r>
                </w:p>
              </w:tc>
              <w:tc>
                <w:tcPr>
                  <w:tcW w:w="631" w:type="pct"/>
                  <w:tcBorders>
                    <w:tl2br w:val="nil"/>
                    <w:tr2bl w:val="nil"/>
                  </w:tcBorders>
                  <w:vAlign w:val="center"/>
                </w:tcPr>
                <w:p>
                  <w:pPr>
                    <w:pStyle w:val="97"/>
                    <w:spacing w:line="288" w:lineRule="auto"/>
                    <w:rPr>
                      <w:rFonts w:ascii="Times New Roman" w:hAnsi="Times New Roman" w:cs="Times New Roman"/>
                    </w:rPr>
                  </w:pPr>
                  <w:r>
                    <w:rPr>
                      <w:rFonts w:hint="eastAsia" w:ascii="Times New Roman" w:hAnsi="Times New Roman" w:cs="Times New Roman"/>
                    </w:rPr>
                    <w:t>0.25</w:t>
                  </w:r>
                </w:p>
              </w:tc>
              <w:tc>
                <w:tcPr>
                  <w:tcW w:w="585" w:type="pct"/>
                  <w:tcBorders>
                    <w:tl2br w:val="nil"/>
                    <w:tr2bl w:val="nil"/>
                  </w:tcBorders>
                  <w:vAlign w:val="center"/>
                </w:tcPr>
                <w:p>
                  <w:pPr>
                    <w:pStyle w:val="97"/>
                    <w:spacing w:line="288" w:lineRule="auto"/>
                    <w:rPr>
                      <w:rFonts w:ascii="Times New Roman" w:hAnsi="Times New Roman" w:cs="Times New Roman"/>
                    </w:rPr>
                  </w:pPr>
                  <w:r>
                    <w:rPr>
                      <w:rFonts w:hint="eastAsia" w:ascii="Times New Roman" w:hAnsi="Times New Roman" w:cs="Times New Roman"/>
                    </w:rPr>
                    <w:t>/</w:t>
                  </w:r>
                </w:p>
              </w:tc>
              <w:tc>
                <w:tcPr>
                  <w:tcW w:w="643" w:type="pct"/>
                  <w:tcBorders>
                    <w:tl2br w:val="nil"/>
                    <w:tr2bl w:val="nil"/>
                  </w:tcBorders>
                  <w:vAlign w:val="center"/>
                </w:tcPr>
                <w:p>
                  <w:pPr>
                    <w:pStyle w:val="97"/>
                    <w:spacing w:line="288" w:lineRule="auto"/>
                    <w:rPr>
                      <w:rFonts w:ascii="Times New Roman" w:hAnsi="Times New Roman" w:cs="Times New Roman"/>
                    </w:rPr>
                  </w:pPr>
                  <w:r>
                    <w:rPr>
                      <w:rFonts w:hint="eastAsia" w:ascii="Times New Roman" w:hAnsi="Times New Roman" w:cs="Times New Roman"/>
                    </w:rPr>
                    <w:t>/</w:t>
                  </w:r>
                </w:p>
              </w:tc>
              <w:tc>
                <w:tcPr>
                  <w:tcW w:w="531" w:type="pct"/>
                  <w:tcBorders>
                    <w:tl2br w:val="nil"/>
                    <w:tr2bl w:val="nil"/>
                  </w:tcBorders>
                  <w:vAlign w:val="center"/>
                </w:tcPr>
                <w:p>
                  <w:pPr>
                    <w:pStyle w:val="97"/>
                    <w:spacing w:line="288" w:lineRule="auto"/>
                    <w:rPr>
                      <w:rFonts w:ascii="Times New Roman" w:hAnsi="Times New Roman" w:cs="Times New Roman"/>
                      <w:b/>
                      <w:bCs/>
                    </w:rPr>
                  </w:pPr>
                  <w:r>
                    <w:rPr>
                      <w:rFonts w:hint="eastAsia" w:ascii="Times New Roman" w:hAnsi="Times New Roman" w:cs="Times New Roman"/>
                      <w:b/>
                      <w:bCs/>
                    </w:rPr>
                    <w:t>/</w:t>
                  </w:r>
                </w:p>
              </w:tc>
            </w:tr>
            <w:bookmarkEnd w:id="0"/>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25" w:hRule="atLeast"/>
              </w:trPr>
              <w:tc>
                <w:tcPr>
                  <w:tcW w:w="1477" w:type="pct"/>
                  <w:gridSpan w:val="2"/>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《地表水环境质量标准》（GB3838-2002）Ⅳ类</w:t>
                  </w:r>
                </w:p>
              </w:tc>
              <w:tc>
                <w:tcPr>
                  <w:tcW w:w="522"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≤30</w:t>
                  </w:r>
                </w:p>
              </w:tc>
              <w:tc>
                <w:tcPr>
                  <w:tcW w:w="61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≤1.5</w:t>
                  </w:r>
                </w:p>
              </w:tc>
              <w:tc>
                <w:tcPr>
                  <w:tcW w:w="6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≤0.3</w:t>
                  </w:r>
                </w:p>
              </w:tc>
              <w:tc>
                <w:tcPr>
                  <w:tcW w:w="585"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w:t>
                  </w:r>
                </w:p>
              </w:tc>
              <w:tc>
                <w:tcPr>
                  <w:tcW w:w="643"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w:t>
                  </w:r>
                </w:p>
              </w:tc>
              <w:tc>
                <w:tcPr>
                  <w:tcW w:w="531" w:type="pct"/>
                  <w:tcBorders>
                    <w:tl2br w:val="nil"/>
                    <w:tr2bl w:val="nil"/>
                  </w:tcBorders>
                  <w:vAlign w:val="center"/>
                </w:tcPr>
                <w:p>
                  <w:pPr>
                    <w:pStyle w:val="97"/>
                    <w:spacing w:line="288" w:lineRule="auto"/>
                    <w:rPr>
                      <w:rFonts w:ascii="Times New Roman" w:hAnsi="Times New Roman" w:cs="Times New Roman"/>
                    </w:rPr>
                  </w:pPr>
                  <w:r>
                    <w:rPr>
                      <w:rFonts w:ascii="Times New Roman" w:hAnsi="Times New Roman" w:cs="Times New Roman"/>
                    </w:rPr>
                    <w:t>/</w:t>
                  </w:r>
                </w:p>
              </w:tc>
            </w:tr>
          </w:tbl>
          <w:p>
            <w:pPr>
              <w:widowControl/>
              <w:spacing w:line="360" w:lineRule="auto"/>
              <w:ind w:firstLine="600"/>
              <w:rPr>
                <w:rFonts w:ascii="Times New Roman" w:hAnsi="Times New Roman" w:cs="Times New Roman"/>
                <w:sz w:val="24"/>
                <w:szCs w:val="24"/>
              </w:rPr>
            </w:pPr>
            <w:r>
              <w:rPr>
                <w:rFonts w:ascii="Times New Roman" w:hAnsi="Times New Roman" w:cs="Times New Roman"/>
                <w:sz w:val="24"/>
                <w:szCs w:val="24"/>
              </w:rPr>
              <w:t>大沙河水花堡桥断面2018年12月~2019年11月水质状况为：COD在17.6-29.5mg/L，标准指数为0.59-0.98，最大超标倍数为0；NH3-N在0.24-2.07mg/L，标准指数为0.16-1.38，最大超标倍数为0.38倍；总磷在0.11-0.36mg/L，标准指数为0.37-1.2，最大超标倍数为0.2倍；氨氮、总磷的超标率分别为38%、20%。</w:t>
            </w:r>
          </w:p>
          <w:p>
            <w:pPr>
              <w:widowControl/>
              <w:spacing w:line="360" w:lineRule="auto"/>
              <w:ind w:firstLine="600"/>
              <w:rPr>
                <w:rFonts w:ascii="Times New Roman" w:hAnsi="Times New Roman" w:cs="Times New Roman"/>
                <w:sz w:val="24"/>
                <w:szCs w:val="24"/>
              </w:rPr>
            </w:pPr>
            <w:r>
              <w:rPr>
                <w:rFonts w:ascii="Times New Roman" w:hAnsi="Times New Roman" w:cs="Times New Roman"/>
                <w:sz w:val="24"/>
                <w:szCs w:val="24"/>
              </w:rPr>
              <w:t>断面水质结果显示，大沙河水环境质量较差。项目所在区域地表水水质有出现超过《地表水环境质量标准》（GB3838-2002）Ⅳ类标准的情况，未能稳定达到《新乡市碧水工程行动计划（水污染防治工作方案）》（新政文（2016）122号）、《新乡市2018年持续打好打赢水污染防治攻坚战工作方案》（新政办[2018]28号）和《新乡市环境污染防治攻坚战三年行动实施方案（2018-2020年）》等文件对大沙河的要求。大沙河超标的主要原因为接纳了上游大量的生产、生活废水，同时很多农业面源污染也是地表水水质超标的原因。</w:t>
            </w:r>
          </w:p>
          <w:p>
            <w:pPr>
              <w:widowControl/>
              <w:spacing w:line="360" w:lineRule="auto"/>
              <w:ind w:firstLine="600"/>
              <w:rPr>
                <w:rFonts w:ascii="Times New Roman" w:hAnsi="Times New Roman" w:cs="Times New Roman"/>
                <w:b/>
                <w:bCs/>
                <w:sz w:val="24"/>
                <w:szCs w:val="24"/>
              </w:rPr>
            </w:pPr>
            <w:r>
              <w:rPr>
                <w:rFonts w:ascii="Times New Roman" w:hAnsi="Times New Roman" w:cs="Times New Roman"/>
                <w:sz w:val="24"/>
                <w:szCs w:val="24"/>
              </w:rPr>
              <w:t>根据大沙河水花堡桥断面的监测资料可以看出，2019年2月以来的水质已逐步改善，近期水污染治理已取得一定成效，水环境质量现状正在不断改善，将逐步实现2019年的控制标准。</w:t>
            </w:r>
          </w:p>
          <w:p>
            <w:pPr>
              <w:adjustRightInd w:val="0"/>
              <w:snapToGrid w:val="0"/>
              <w:spacing w:before="156" w:beforeLines="50" w:line="360" w:lineRule="auto"/>
              <w:rPr>
                <w:rFonts w:ascii="Times New Roman" w:hAnsi="Times New Roman" w:cs="Times New Roman"/>
                <w:b/>
                <w:bCs/>
                <w:sz w:val="24"/>
                <w:szCs w:val="24"/>
              </w:rPr>
            </w:pPr>
            <w:r>
              <w:rPr>
                <w:rFonts w:hint="eastAsia" w:ascii="Times New Roman" w:hAnsi="Times New Roman" w:cs="Times New Roman"/>
                <w:b/>
                <w:bCs/>
                <w:sz w:val="24"/>
                <w:szCs w:val="24"/>
              </w:rPr>
              <w:t>3、</w:t>
            </w:r>
            <w:r>
              <w:rPr>
                <w:rFonts w:ascii="Times New Roman" w:hAnsi="Times New Roman" w:cs="Times New Roman"/>
                <w:b/>
                <w:bCs/>
                <w:sz w:val="24"/>
                <w:szCs w:val="24"/>
              </w:rPr>
              <w:t>声环境质量现状</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根据声环境功能区划分，项目所在地为</w:t>
            </w:r>
            <w:r>
              <w:rPr>
                <w:rFonts w:hint="eastAsia" w:ascii="Times New Roman" w:hAnsi="Times New Roman" w:cs="Times New Roman"/>
                <w:sz w:val="24"/>
              </w:rPr>
              <w:t>3类</w:t>
            </w:r>
            <w:r>
              <w:rPr>
                <w:rFonts w:ascii="Times New Roman" w:hAnsi="Times New Roman" w:cs="Times New Roman"/>
                <w:sz w:val="24"/>
              </w:rPr>
              <w:t>功能区，厂区应执行《声环境质量标准》(GB3096-2008)</w:t>
            </w:r>
            <w:r>
              <w:rPr>
                <w:rFonts w:hint="eastAsia" w:ascii="Times New Roman" w:hAnsi="Times New Roman" w:cs="Times New Roman"/>
                <w:sz w:val="24"/>
              </w:rPr>
              <w:t>3类</w:t>
            </w:r>
            <w:r>
              <w:rPr>
                <w:rFonts w:ascii="Times New Roman" w:hAnsi="Times New Roman" w:cs="Times New Roman"/>
                <w:sz w:val="24"/>
              </w:rPr>
              <w:t>标准，根据2</w:t>
            </w:r>
            <w:r>
              <w:rPr>
                <w:rFonts w:hint="eastAsia" w:ascii="Times New Roman" w:hAnsi="Times New Roman" w:cs="Times New Roman"/>
                <w:sz w:val="24"/>
              </w:rPr>
              <w:t>020</w:t>
            </w:r>
            <w:r>
              <w:rPr>
                <w:rFonts w:ascii="Times New Roman" w:hAnsi="Times New Roman" w:cs="Times New Roman"/>
                <w:sz w:val="24"/>
              </w:rPr>
              <w:t>年</w:t>
            </w:r>
            <w:r>
              <w:rPr>
                <w:rFonts w:hint="eastAsia" w:ascii="Times New Roman" w:hAnsi="Times New Roman" w:cs="Times New Roman"/>
                <w:sz w:val="24"/>
              </w:rPr>
              <w:t>3</w:t>
            </w:r>
            <w:r>
              <w:rPr>
                <w:rFonts w:ascii="Times New Roman" w:hAnsi="Times New Roman" w:cs="Times New Roman"/>
                <w:sz w:val="24"/>
              </w:rPr>
              <w:t>月</w:t>
            </w:r>
            <w:r>
              <w:rPr>
                <w:rFonts w:hint="eastAsia" w:ascii="Times New Roman" w:hAnsi="Times New Roman" w:cs="Times New Roman"/>
                <w:sz w:val="24"/>
              </w:rPr>
              <w:t>6</w:t>
            </w:r>
            <w:r>
              <w:rPr>
                <w:rFonts w:ascii="Times New Roman" w:hAnsi="Times New Roman" w:cs="Times New Roman"/>
                <w:sz w:val="24"/>
              </w:rPr>
              <w:t>日~</w:t>
            </w:r>
            <w:r>
              <w:rPr>
                <w:rFonts w:hint="eastAsia" w:ascii="Times New Roman" w:hAnsi="Times New Roman" w:cs="Times New Roman"/>
                <w:sz w:val="24"/>
              </w:rPr>
              <w:t>7</w:t>
            </w:r>
            <w:r>
              <w:rPr>
                <w:rFonts w:ascii="Times New Roman" w:hAnsi="Times New Roman" w:cs="Times New Roman"/>
                <w:sz w:val="24"/>
              </w:rPr>
              <w:t>日对厂界环境噪声现状监测。监测结果见</w:t>
            </w:r>
            <w:r>
              <w:rPr>
                <w:rFonts w:hint="eastAsia" w:ascii="Times New Roman" w:hAnsi="Times New Roman" w:cs="Times New Roman"/>
                <w:sz w:val="24"/>
              </w:rPr>
              <w:t>表23</w:t>
            </w:r>
            <w:r>
              <w:rPr>
                <w:rFonts w:ascii="Times New Roman" w:hAnsi="Times New Roman" w:cs="Times New Roman"/>
                <w:sz w:val="24"/>
              </w:rPr>
              <w:t>。</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23</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噪声实测结果 [dB(A)]</w:t>
            </w:r>
          </w:p>
          <w:tbl>
            <w:tblPr>
              <w:tblStyle w:val="29"/>
              <w:tblW w:w="907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814"/>
              <w:gridCol w:w="1814"/>
              <w:gridCol w:w="1815"/>
              <w:gridCol w:w="18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采样点位</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监测频次</w:t>
                  </w:r>
                </w:p>
              </w:tc>
              <w:tc>
                <w:tcPr>
                  <w:tcW w:w="3629" w:type="dxa"/>
                  <w:gridSpan w:val="2"/>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监测项目</w:t>
                  </w:r>
                </w:p>
              </w:tc>
              <w:tc>
                <w:tcPr>
                  <w:tcW w:w="1815"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厂界</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连续监测两天，昼、夜各一次</w:t>
                  </w:r>
                </w:p>
              </w:tc>
              <w:tc>
                <w:tcPr>
                  <w:tcW w:w="5444" w:type="dxa"/>
                  <w:gridSpan w:val="3"/>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等效连续A声级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vMerge w:val="restart"/>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监测点位</w:t>
                  </w:r>
                </w:p>
              </w:tc>
              <w:tc>
                <w:tcPr>
                  <w:tcW w:w="1814" w:type="dxa"/>
                  <w:vMerge w:val="restart"/>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监测时间</w:t>
                  </w:r>
                </w:p>
              </w:tc>
              <w:tc>
                <w:tcPr>
                  <w:tcW w:w="3629" w:type="dxa"/>
                  <w:gridSpan w:val="2"/>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检测结果dB(A)</w:t>
                  </w:r>
                </w:p>
              </w:tc>
              <w:tc>
                <w:tcPr>
                  <w:tcW w:w="1815" w:type="dxa"/>
                  <w:vMerge w:val="restart"/>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iCs/>
                      <w:szCs w:val="21"/>
                    </w:rPr>
                    <w:t>昼间≤</w:t>
                  </w:r>
                  <w:r>
                    <w:rPr>
                      <w:rFonts w:hint="eastAsia" w:eastAsia="宋体" w:cs="Times New Roman"/>
                      <w:sz w:val="24"/>
                    </w:rPr>
                    <w:t>65dB</w:t>
                  </w:r>
                  <w:r>
                    <w:rPr>
                      <w:rFonts w:eastAsia="宋体" w:cs="Times New Roman"/>
                      <w:iCs/>
                      <w:szCs w:val="21"/>
                    </w:rPr>
                    <w:t>（A），夜间≤</w:t>
                  </w:r>
                  <w:r>
                    <w:rPr>
                      <w:rFonts w:hint="eastAsia" w:eastAsia="宋体" w:cs="Times New Roman"/>
                      <w:sz w:val="24"/>
                    </w:rPr>
                    <w:t>55dB</w:t>
                  </w:r>
                  <w:r>
                    <w:rPr>
                      <w:rFonts w:eastAsia="宋体" w:cs="Times New Roman"/>
                      <w:iCs/>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c>
                <w:tcPr>
                  <w:tcW w:w="1814"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昼间</w:t>
                  </w:r>
                </w:p>
              </w:tc>
              <w:tc>
                <w:tcPr>
                  <w:tcW w:w="1815"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夜间</w:t>
                  </w:r>
                </w:p>
              </w:tc>
              <w:tc>
                <w:tcPr>
                  <w:tcW w:w="1815"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vMerge w:val="restart"/>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东厂界</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2020.03.06</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55.2</w:t>
                  </w:r>
                </w:p>
              </w:tc>
              <w:tc>
                <w:tcPr>
                  <w:tcW w:w="1815"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40.1</w:t>
                  </w:r>
                </w:p>
              </w:tc>
              <w:tc>
                <w:tcPr>
                  <w:tcW w:w="1815"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2020.03.07</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54.2</w:t>
                  </w:r>
                </w:p>
              </w:tc>
              <w:tc>
                <w:tcPr>
                  <w:tcW w:w="1815"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40.9</w:t>
                  </w:r>
                </w:p>
              </w:tc>
              <w:tc>
                <w:tcPr>
                  <w:tcW w:w="1815"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vMerge w:val="restart"/>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南厂界</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2020.03.06</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56.1</w:t>
                  </w:r>
                </w:p>
              </w:tc>
              <w:tc>
                <w:tcPr>
                  <w:tcW w:w="1815"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41.2</w:t>
                  </w:r>
                </w:p>
              </w:tc>
              <w:tc>
                <w:tcPr>
                  <w:tcW w:w="1815"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2020.03.07</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55.6</w:t>
                  </w:r>
                </w:p>
              </w:tc>
              <w:tc>
                <w:tcPr>
                  <w:tcW w:w="1815"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41.7</w:t>
                  </w:r>
                </w:p>
              </w:tc>
              <w:tc>
                <w:tcPr>
                  <w:tcW w:w="1815"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4" w:type="dxa"/>
                  <w:vMerge w:val="restart"/>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西厂界</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2020.03.06</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53.2</w:t>
                  </w:r>
                </w:p>
              </w:tc>
              <w:tc>
                <w:tcPr>
                  <w:tcW w:w="1815"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45.2</w:t>
                  </w:r>
                </w:p>
              </w:tc>
              <w:tc>
                <w:tcPr>
                  <w:tcW w:w="1815"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2020.03.07</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54.7</w:t>
                  </w:r>
                </w:p>
              </w:tc>
              <w:tc>
                <w:tcPr>
                  <w:tcW w:w="1815"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48.0</w:t>
                  </w:r>
                </w:p>
              </w:tc>
              <w:tc>
                <w:tcPr>
                  <w:tcW w:w="1815"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vMerge w:val="restart"/>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北厂界</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2020.03.06</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56.8</w:t>
                  </w:r>
                </w:p>
              </w:tc>
              <w:tc>
                <w:tcPr>
                  <w:tcW w:w="1815"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41.6</w:t>
                  </w:r>
                </w:p>
              </w:tc>
              <w:tc>
                <w:tcPr>
                  <w:tcW w:w="1815"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14"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2020.03.07</w:t>
                  </w:r>
                </w:p>
              </w:tc>
              <w:tc>
                <w:tcPr>
                  <w:tcW w:w="1814"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52.1</w:t>
                  </w:r>
                </w:p>
              </w:tc>
              <w:tc>
                <w:tcPr>
                  <w:tcW w:w="1815" w:type="dxa"/>
                  <w:tcBorders>
                    <w:tl2br w:val="nil"/>
                    <w:tr2bl w:val="nil"/>
                  </w:tcBorders>
                  <w:vAlign w:val="center"/>
                </w:tcPr>
                <w:p>
                  <w:pPr>
                    <w:pStyle w:val="21"/>
                    <w:numPr>
                      <w:ilvl w:val="0"/>
                      <w:numId w:val="0"/>
                    </w:numPr>
                    <w:spacing w:line="288" w:lineRule="auto"/>
                    <w:jc w:val="center"/>
                    <w:rPr>
                      <w:rFonts w:eastAsia="宋体" w:cs="Times New Roman"/>
                      <w:szCs w:val="21"/>
                    </w:rPr>
                  </w:pPr>
                  <w:r>
                    <w:rPr>
                      <w:rFonts w:eastAsia="宋体" w:cs="Times New Roman"/>
                      <w:szCs w:val="21"/>
                    </w:rPr>
                    <w:t>42.1</w:t>
                  </w:r>
                </w:p>
              </w:tc>
              <w:tc>
                <w:tcPr>
                  <w:tcW w:w="1815" w:type="dxa"/>
                  <w:vMerge w:val="continue"/>
                  <w:tcBorders>
                    <w:tl2br w:val="nil"/>
                    <w:tr2bl w:val="nil"/>
                  </w:tcBorders>
                  <w:vAlign w:val="center"/>
                </w:tcPr>
                <w:p>
                  <w:pPr>
                    <w:pStyle w:val="21"/>
                    <w:numPr>
                      <w:ilvl w:val="0"/>
                      <w:numId w:val="0"/>
                    </w:numPr>
                    <w:spacing w:line="288" w:lineRule="auto"/>
                    <w:jc w:val="center"/>
                    <w:rPr>
                      <w:rFonts w:eastAsia="宋体" w:cs="Times New Roman"/>
                      <w:szCs w:val="21"/>
                    </w:rPr>
                  </w:pPr>
                </w:p>
              </w:tc>
            </w:tr>
          </w:tbl>
          <w:p>
            <w:pPr>
              <w:widowControl/>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表</w:t>
            </w:r>
            <w:r>
              <w:rPr>
                <w:rFonts w:hint="eastAsia" w:ascii="Times New Roman" w:hAnsi="Times New Roman" w:cs="Times New Roman"/>
                <w:sz w:val="24"/>
                <w:szCs w:val="24"/>
              </w:rPr>
              <w:t>18</w:t>
            </w:r>
            <w:r>
              <w:rPr>
                <w:rFonts w:ascii="Times New Roman" w:hAnsi="Times New Roman" w:cs="Times New Roman"/>
                <w:sz w:val="24"/>
                <w:szCs w:val="24"/>
              </w:rPr>
              <w:t>可知，本项目各厂界</w:t>
            </w:r>
            <w:r>
              <w:rPr>
                <w:rFonts w:hint="eastAsia" w:ascii="Times New Roman" w:hAnsi="Times New Roman" w:cs="Times New Roman"/>
                <w:sz w:val="24"/>
                <w:szCs w:val="24"/>
              </w:rPr>
              <w:t>及敏感点处</w:t>
            </w:r>
            <w:r>
              <w:rPr>
                <w:rFonts w:ascii="Times New Roman" w:hAnsi="Times New Roman" w:cs="Times New Roman"/>
                <w:sz w:val="24"/>
                <w:szCs w:val="24"/>
              </w:rPr>
              <w:t>噪声值均满足《声环境质量标准》（GB3096-2008）</w:t>
            </w:r>
            <w:r>
              <w:rPr>
                <w:rFonts w:hint="eastAsia" w:ascii="Times New Roman" w:hAnsi="Times New Roman" w:cs="Times New Roman"/>
                <w:sz w:val="24"/>
              </w:rPr>
              <w:t>3类</w:t>
            </w:r>
            <w:r>
              <w:rPr>
                <w:rFonts w:ascii="Times New Roman" w:hAnsi="Times New Roman" w:cs="Times New Roman"/>
                <w:sz w:val="24"/>
                <w:szCs w:val="24"/>
              </w:rPr>
              <w:t>标准要求，表明本项目所在区域声环境质量现状较</w:t>
            </w:r>
            <w:r>
              <w:rPr>
                <w:rFonts w:hint="eastAsia" w:ascii="Times New Roman" w:hAnsi="Times New Roman" w:cs="Times New Roman"/>
                <w:sz w:val="24"/>
                <w:szCs w:val="24"/>
              </w:rPr>
              <w:t>好。</w:t>
            </w:r>
          </w:p>
          <w:p>
            <w:pPr>
              <w:adjustRightInd w:val="0"/>
              <w:snapToGrid w:val="0"/>
              <w:spacing w:before="156" w:beforeLines="50" w:line="360" w:lineRule="auto"/>
              <w:rPr>
                <w:rFonts w:ascii="Times New Roman" w:hAnsi="Times New Roman" w:cs="Times New Roman"/>
                <w:b/>
                <w:sz w:val="24"/>
                <w:szCs w:val="24"/>
              </w:rPr>
            </w:pPr>
            <w:r>
              <w:rPr>
                <w:rFonts w:hint="eastAsia" w:ascii="Times New Roman" w:hAnsi="Times New Roman" w:cs="Times New Roman"/>
                <w:b/>
                <w:sz w:val="24"/>
                <w:szCs w:val="24"/>
              </w:rPr>
              <w:t>4、地下水质量现状</w:t>
            </w:r>
          </w:p>
          <w:p>
            <w:pPr>
              <w:widowControl/>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本项目引用“</w:t>
            </w:r>
            <w:r>
              <w:rPr>
                <w:rFonts w:ascii="Times New Roman" w:hAnsi="Times New Roman" w:cs="Times New Roman"/>
                <w:bCs/>
                <w:sz w:val="24"/>
              </w:rPr>
              <w:t>新乡化纤股份有限公司年产六千吨再生氨纶纤维项目”</w:t>
            </w:r>
            <w:r>
              <w:rPr>
                <w:rFonts w:hint="eastAsia" w:ascii="Times New Roman" w:hAnsi="Times New Roman" w:cs="Times New Roman"/>
                <w:bCs/>
                <w:sz w:val="24"/>
              </w:rPr>
              <w:t>（以下简称“该项目”</w:t>
            </w:r>
            <w:r>
              <w:rPr>
                <w:rFonts w:ascii="Times New Roman" w:hAnsi="Times New Roman" w:cs="Times New Roman"/>
                <w:bCs/>
                <w:sz w:val="24"/>
              </w:rPr>
              <w:t>地下水环境现状章节结论，该项目距离本项目厂界直线距离750米，该项目于2018年1月25-27日连续3日检测了该项目所在地、夏庄村、十八里庄、大杨庄村、北张兴庄村地下水质量现状。监测因子选取pH、氨氮、总硬度、溶解性总固体、耗氧量、K</w:t>
            </w:r>
            <w:r>
              <w:rPr>
                <w:rFonts w:ascii="Times New Roman" w:hAnsi="Times New Roman" w:cs="Times New Roman"/>
                <w:bCs/>
                <w:sz w:val="24"/>
                <w:vertAlign w:val="superscript"/>
              </w:rPr>
              <w:t>+</w:t>
            </w:r>
            <w:r>
              <w:rPr>
                <w:rFonts w:ascii="Times New Roman" w:hAnsi="Times New Roman" w:cs="Times New Roman"/>
                <w:bCs/>
                <w:sz w:val="24"/>
              </w:rPr>
              <w:t>、Na</w:t>
            </w:r>
            <w:r>
              <w:rPr>
                <w:rFonts w:ascii="Times New Roman" w:hAnsi="Times New Roman" w:cs="Times New Roman"/>
                <w:bCs/>
                <w:sz w:val="24"/>
                <w:vertAlign w:val="superscript"/>
              </w:rPr>
              <w:t>+</w:t>
            </w:r>
            <w:r>
              <w:rPr>
                <w:rFonts w:ascii="Times New Roman" w:hAnsi="Times New Roman" w:cs="Times New Roman"/>
                <w:bCs/>
                <w:sz w:val="24"/>
              </w:rPr>
              <w:t>、Ca</w:t>
            </w:r>
            <w:r>
              <w:rPr>
                <w:rFonts w:ascii="Times New Roman" w:hAnsi="Times New Roman" w:cs="Times New Roman"/>
                <w:bCs/>
                <w:sz w:val="24"/>
                <w:vertAlign w:val="superscript"/>
              </w:rPr>
              <w:t>2+</w:t>
            </w:r>
            <w:r>
              <w:rPr>
                <w:rFonts w:ascii="Times New Roman" w:hAnsi="Times New Roman" w:cs="Times New Roman"/>
                <w:bCs/>
                <w:sz w:val="24"/>
              </w:rPr>
              <w:t>、Mg</w:t>
            </w:r>
            <w:r>
              <w:rPr>
                <w:rFonts w:ascii="Times New Roman" w:hAnsi="Times New Roman" w:cs="Times New Roman"/>
                <w:bCs/>
                <w:sz w:val="24"/>
                <w:vertAlign w:val="superscript"/>
              </w:rPr>
              <w:t>2+</w:t>
            </w:r>
            <w:r>
              <w:rPr>
                <w:rFonts w:ascii="Times New Roman" w:hAnsi="Times New Roman" w:cs="Times New Roman"/>
                <w:bCs/>
                <w:sz w:val="24"/>
              </w:rPr>
              <w:t>、CO</w:t>
            </w:r>
            <w:r>
              <w:rPr>
                <w:rFonts w:ascii="Times New Roman" w:hAnsi="Times New Roman" w:cs="Times New Roman"/>
                <w:bCs/>
                <w:sz w:val="24"/>
                <w:vertAlign w:val="subscript"/>
              </w:rPr>
              <w:t>3</w:t>
            </w:r>
            <w:r>
              <w:rPr>
                <w:rFonts w:ascii="Times New Roman" w:hAnsi="Times New Roman" w:cs="Times New Roman"/>
                <w:bCs/>
                <w:sz w:val="24"/>
                <w:vertAlign w:val="superscript"/>
              </w:rPr>
              <w:t>2-</w:t>
            </w:r>
            <w:r>
              <w:rPr>
                <w:rFonts w:ascii="Times New Roman" w:hAnsi="Times New Roman" w:cs="Times New Roman"/>
                <w:bCs/>
                <w:sz w:val="24"/>
              </w:rPr>
              <w:t>、HCO</w:t>
            </w:r>
            <w:r>
              <w:rPr>
                <w:rFonts w:ascii="Times New Roman" w:hAnsi="Times New Roman" w:cs="Times New Roman"/>
                <w:bCs/>
                <w:sz w:val="24"/>
                <w:vertAlign w:val="subscript"/>
              </w:rPr>
              <w:t>3</w:t>
            </w:r>
            <w:r>
              <w:rPr>
                <w:rFonts w:ascii="Times New Roman" w:hAnsi="Times New Roman" w:cs="Times New Roman"/>
                <w:bCs/>
                <w:sz w:val="24"/>
                <w:vertAlign w:val="superscript"/>
              </w:rPr>
              <w:t>-</w:t>
            </w:r>
            <w:r>
              <w:rPr>
                <w:rFonts w:ascii="Times New Roman" w:hAnsi="Times New Roman" w:cs="Times New Roman"/>
                <w:bCs/>
                <w:sz w:val="24"/>
              </w:rPr>
              <w:t>、Cl</w:t>
            </w:r>
            <w:r>
              <w:rPr>
                <w:rFonts w:ascii="Times New Roman" w:hAnsi="Times New Roman" w:cs="Times New Roman"/>
                <w:bCs/>
                <w:sz w:val="24"/>
                <w:vertAlign w:val="superscript"/>
              </w:rPr>
              <w:t>-</w:t>
            </w:r>
            <w:r>
              <w:rPr>
                <w:rFonts w:ascii="Times New Roman" w:hAnsi="Times New Roman" w:cs="Times New Roman"/>
                <w:bCs/>
                <w:sz w:val="24"/>
              </w:rPr>
              <w:t>、SO</w:t>
            </w:r>
            <w:r>
              <w:rPr>
                <w:rFonts w:ascii="Times New Roman" w:hAnsi="Times New Roman" w:cs="Times New Roman"/>
                <w:bCs/>
                <w:sz w:val="24"/>
                <w:vertAlign w:val="subscript"/>
              </w:rPr>
              <w:t>4</w:t>
            </w:r>
            <w:r>
              <w:rPr>
                <w:rFonts w:ascii="Times New Roman" w:hAnsi="Times New Roman" w:cs="Times New Roman"/>
                <w:bCs/>
                <w:sz w:val="24"/>
                <w:vertAlign w:val="superscript"/>
              </w:rPr>
              <w:t>2-</w:t>
            </w:r>
            <w:r>
              <w:rPr>
                <w:rFonts w:ascii="Times New Roman" w:hAnsi="Times New Roman" w:cs="Times New Roman"/>
                <w:bCs/>
                <w:sz w:val="24"/>
              </w:rPr>
              <w:t>。</w:t>
            </w:r>
            <w:r>
              <w:rPr>
                <w:rFonts w:hint="eastAsia" w:ascii="Times New Roman" w:hAnsi="Times New Roman" w:cs="Times New Roman"/>
                <w:bCs/>
                <w:sz w:val="24"/>
              </w:rPr>
              <w:t>在</w:t>
            </w:r>
            <w:r>
              <w:rPr>
                <w:rFonts w:ascii="Times New Roman" w:hAnsi="Times New Roman" w:cs="Times New Roman"/>
                <w:bCs/>
                <w:sz w:val="24"/>
              </w:rPr>
              <w:t>对检测结果进行分析和评价后，得各监测点位均未出现超标情况。</w:t>
            </w:r>
            <w:r>
              <w:rPr>
                <w:rFonts w:hint="eastAsia" w:ascii="Times New Roman" w:hAnsi="Times New Roman" w:cs="Times New Roman"/>
                <w:bCs/>
                <w:sz w:val="24"/>
              </w:rPr>
              <w:t>因此，本项目</w:t>
            </w:r>
            <w:r>
              <w:rPr>
                <w:rFonts w:ascii="Times New Roman" w:hAnsi="Times New Roman" w:cs="Times New Roman"/>
                <w:bCs/>
                <w:sz w:val="24"/>
              </w:rPr>
              <w:t>区域地下水环境状况良好。</w:t>
            </w:r>
          </w:p>
          <w:p>
            <w:pPr>
              <w:adjustRightInd w:val="0"/>
              <w:snapToGrid w:val="0"/>
              <w:spacing w:before="156" w:beforeLines="50" w:line="360" w:lineRule="auto"/>
              <w:rPr>
                <w:rFonts w:ascii="Times New Roman" w:hAnsi="Times New Roman" w:cs="Times New Roman"/>
                <w:b/>
                <w:sz w:val="24"/>
                <w:szCs w:val="24"/>
              </w:rPr>
            </w:pPr>
            <w:r>
              <w:rPr>
                <w:rFonts w:hint="eastAsia" w:ascii="Times New Roman" w:hAnsi="Times New Roman" w:cs="Times New Roman"/>
                <w:b/>
                <w:sz w:val="24"/>
                <w:szCs w:val="24"/>
              </w:rPr>
              <w:t>5、生态环境现状</w:t>
            </w:r>
          </w:p>
          <w:p>
            <w:pPr>
              <w:widowControl/>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bCs/>
                <w:sz w:val="24"/>
              </w:rPr>
              <w:t>新乡经济技术开发区土壤属于潮土向褐土过渡的湿潮土、沙土。地表植被主要是林草及农作物，主要树种有国槐、刺槐、泡桐、柳树等，主要灌木有白腊条、胡枝子等。</w:t>
            </w:r>
            <w:r>
              <w:rPr>
                <w:rFonts w:hint="eastAsia" w:ascii="Times New Roman" w:hAnsi="Times New Roman" w:cs="Times New Roman"/>
                <w:bCs/>
                <w:sz w:val="24"/>
                <w:szCs w:val="24"/>
              </w:rPr>
              <w:t>区域可见到小型野</w:t>
            </w:r>
            <w:r>
              <w:rPr>
                <w:rFonts w:ascii="Times New Roman" w:hAnsi="Times New Roman" w:cs="Times New Roman"/>
                <w:bCs/>
                <w:sz w:val="24"/>
              </w:rPr>
              <w:t>生动物青蛙、田鼠等，鸟类有麻雀、喜鹊、灰喜鹊等。新乡市不是一个资源型城市，不存在资源型城市大多具有的自然生态遭到破坏、环境污染和退化的问题，区域生态现状良好。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1" w:hRule="atLeast"/>
          <w:jc w:val="center"/>
        </w:trPr>
        <w:tc>
          <w:tcPr>
            <w:tcW w:w="9288" w:type="dxa"/>
          </w:tcPr>
          <w:p>
            <w:pPr>
              <w:adjustRightInd w:val="0"/>
              <w:snapToGrid w:val="0"/>
              <w:spacing w:line="360" w:lineRule="auto"/>
              <w:jc w:val="left"/>
              <w:rPr>
                <w:rFonts w:ascii="Times New Roman" w:hAnsi="Times New Roman" w:eastAsia="黑体" w:cs="Times New Roman"/>
                <w:szCs w:val="28"/>
              </w:rPr>
            </w:pPr>
            <w:r>
              <w:rPr>
                <w:rFonts w:ascii="Times New Roman" w:hAnsi="Times New Roman" w:eastAsia="黑体" w:cs="Times New Roman"/>
                <w:szCs w:val="28"/>
              </w:rPr>
              <w:t>主要环境保护目标（列出名单及保护级别）：</w:t>
            </w:r>
          </w:p>
          <w:p>
            <w:pPr>
              <w:adjustRightInd w:val="0"/>
              <w:snapToGrid w:val="0"/>
              <w:spacing w:line="360" w:lineRule="auto"/>
              <w:ind w:firstLine="480" w:firstLineChars="200"/>
              <w:jc w:val="left"/>
              <w:rPr>
                <w:rFonts w:ascii="Times New Roman" w:hAnsi="Times New Roman" w:cs="Times New Roman"/>
                <w:bCs/>
                <w:sz w:val="24"/>
              </w:rPr>
            </w:pPr>
            <w:r>
              <w:rPr>
                <w:rFonts w:ascii="Times New Roman" w:hAnsi="Times New Roman" w:cs="Times New Roman"/>
                <w:bCs/>
                <w:sz w:val="24"/>
              </w:rPr>
              <w:t>根据现场调查，本项目主要环境保护目标见</w:t>
            </w:r>
            <w:r>
              <w:rPr>
                <w:rFonts w:hint="eastAsia" w:ascii="Times New Roman" w:hAnsi="Times New Roman" w:cs="Times New Roman"/>
                <w:bCs/>
                <w:sz w:val="24"/>
              </w:rPr>
              <w:t>表24</w:t>
            </w:r>
            <w:r>
              <w:rPr>
                <w:rFonts w:ascii="Times New Roman" w:hAnsi="Times New Roman" w:cs="Times New Roman"/>
                <w:bCs/>
                <w:sz w:val="24"/>
              </w:rPr>
              <w:t>。</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24</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评价区主要环境保护目标</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81"/>
              <w:gridCol w:w="603"/>
              <w:gridCol w:w="1630"/>
              <w:gridCol w:w="1187"/>
              <w:gridCol w:w="1341"/>
              <w:gridCol w:w="897"/>
              <w:gridCol w:w="293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597" w:type="pct"/>
                  <w:gridSpan w:val="2"/>
                  <w:tcBorders>
                    <w:tl2br w:val="nil"/>
                    <w:tr2bl w:val="nil"/>
                  </w:tcBorders>
                  <w:vAlign w:val="center"/>
                </w:tcPr>
                <w:p>
                  <w:pPr>
                    <w:pStyle w:val="79"/>
                    <w:spacing w:line="288" w:lineRule="auto"/>
                    <w:ind w:firstLine="0"/>
                    <w:jc w:val="center"/>
                    <w:rPr>
                      <w:rFonts w:hint="default" w:ascii="Times New Roman" w:hAnsi="Times New Roman"/>
                      <w:bCs/>
                      <w:szCs w:val="21"/>
                    </w:rPr>
                  </w:pPr>
                  <w:r>
                    <w:rPr>
                      <w:rFonts w:hint="default" w:ascii="Times New Roman" w:hAnsi="Times New Roman"/>
                      <w:bCs/>
                      <w:szCs w:val="21"/>
                    </w:rPr>
                    <w:t>序 列</w:t>
                  </w:r>
                </w:p>
              </w:tc>
              <w:tc>
                <w:tcPr>
                  <w:tcW w:w="898" w:type="pct"/>
                  <w:tcBorders>
                    <w:tl2br w:val="nil"/>
                    <w:tr2bl w:val="nil"/>
                  </w:tcBorders>
                  <w:vAlign w:val="center"/>
                </w:tcPr>
                <w:p>
                  <w:pPr>
                    <w:pStyle w:val="79"/>
                    <w:spacing w:line="288" w:lineRule="auto"/>
                    <w:ind w:firstLine="0"/>
                    <w:jc w:val="center"/>
                    <w:rPr>
                      <w:rFonts w:hint="default" w:ascii="Times New Roman" w:hAnsi="Times New Roman"/>
                      <w:bCs/>
                      <w:szCs w:val="21"/>
                    </w:rPr>
                  </w:pPr>
                  <w:r>
                    <w:rPr>
                      <w:rFonts w:hint="default" w:ascii="Times New Roman" w:hAnsi="Times New Roman"/>
                      <w:bCs/>
                      <w:szCs w:val="21"/>
                    </w:rPr>
                    <w:t>保护目标</w:t>
                  </w:r>
                </w:p>
              </w:tc>
              <w:tc>
                <w:tcPr>
                  <w:tcW w:w="654" w:type="pct"/>
                  <w:tcBorders>
                    <w:tl2br w:val="nil"/>
                    <w:tr2bl w:val="nil"/>
                  </w:tcBorders>
                  <w:vAlign w:val="center"/>
                </w:tcPr>
                <w:p>
                  <w:pPr>
                    <w:pStyle w:val="79"/>
                    <w:spacing w:line="288" w:lineRule="auto"/>
                    <w:ind w:firstLine="0"/>
                    <w:jc w:val="center"/>
                    <w:rPr>
                      <w:rFonts w:hint="default" w:ascii="Times New Roman" w:hAnsi="Times New Roman"/>
                      <w:bCs/>
                      <w:szCs w:val="21"/>
                    </w:rPr>
                  </w:pPr>
                  <w:r>
                    <w:rPr>
                      <w:rFonts w:hint="default" w:ascii="Times New Roman" w:hAnsi="Times New Roman"/>
                      <w:bCs/>
                      <w:szCs w:val="21"/>
                    </w:rPr>
                    <w:t>相对方位</w:t>
                  </w:r>
                </w:p>
              </w:tc>
              <w:tc>
                <w:tcPr>
                  <w:tcW w:w="739" w:type="pct"/>
                  <w:tcBorders>
                    <w:tl2br w:val="nil"/>
                    <w:tr2bl w:val="nil"/>
                  </w:tcBorders>
                  <w:vAlign w:val="center"/>
                </w:tcPr>
                <w:p>
                  <w:pPr>
                    <w:pStyle w:val="79"/>
                    <w:spacing w:line="288" w:lineRule="auto"/>
                    <w:ind w:firstLine="0"/>
                    <w:jc w:val="center"/>
                    <w:rPr>
                      <w:rFonts w:hint="default" w:ascii="Times New Roman" w:hAnsi="Times New Roman"/>
                      <w:bCs/>
                      <w:szCs w:val="21"/>
                    </w:rPr>
                  </w:pPr>
                  <w:r>
                    <w:rPr>
                      <w:rFonts w:hint="default" w:ascii="Times New Roman" w:hAnsi="Times New Roman"/>
                      <w:bCs/>
                      <w:szCs w:val="21"/>
                    </w:rPr>
                    <w:t>距离（m）</w:t>
                  </w:r>
                </w:p>
              </w:tc>
              <w:tc>
                <w:tcPr>
                  <w:tcW w:w="494" w:type="pct"/>
                  <w:tcBorders>
                    <w:tl2br w:val="nil"/>
                    <w:tr2bl w:val="nil"/>
                  </w:tcBorders>
                  <w:vAlign w:val="center"/>
                </w:tcPr>
                <w:p>
                  <w:pPr>
                    <w:pStyle w:val="79"/>
                    <w:spacing w:line="288" w:lineRule="auto"/>
                    <w:ind w:firstLine="0"/>
                    <w:jc w:val="center"/>
                    <w:rPr>
                      <w:rFonts w:hint="default" w:ascii="Times New Roman" w:hAnsi="Times New Roman"/>
                      <w:bCs/>
                      <w:szCs w:val="21"/>
                    </w:rPr>
                  </w:pPr>
                  <w:r>
                    <w:rPr>
                      <w:rFonts w:hint="default" w:ascii="Times New Roman" w:hAnsi="Times New Roman"/>
                      <w:bCs/>
                      <w:szCs w:val="21"/>
                    </w:rPr>
                    <w:t>人口</w:t>
                  </w:r>
                </w:p>
              </w:tc>
              <w:tc>
                <w:tcPr>
                  <w:tcW w:w="1616" w:type="pct"/>
                  <w:tcBorders>
                    <w:tl2br w:val="nil"/>
                    <w:tr2bl w:val="nil"/>
                  </w:tcBorders>
                  <w:vAlign w:val="center"/>
                </w:tcPr>
                <w:p>
                  <w:pPr>
                    <w:pStyle w:val="79"/>
                    <w:spacing w:line="288" w:lineRule="auto"/>
                    <w:ind w:firstLine="0"/>
                    <w:jc w:val="center"/>
                    <w:rPr>
                      <w:rFonts w:hint="default" w:ascii="Times New Roman" w:hAnsi="Times New Roman" w:eastAsia="宋体"/>
                      <w:bCs/>
                      <w:szCs w:val="21"/>
                      <w:lang w:eastAsia="zh-CN"/>
                    </w:rPr>
                  </w:pPr>
                  <w:r>
                    <w:rPr>
                      <w:rFonts w:ascii="Times New Roman" w:hAnsi="Times New Roman" w:eastAsia="宋体"/>
                      <w:bCs/>
                      <w:szCs w:val="21"/>
                      <w:lang w:eastAsia="zh-CN"/>
                    </w:rPr>
                    <w:t>性质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265" w:type="pct"/>
                  <w:vMerge w:val="restart"/>
                  <w:tcBorders>
                    <w:tl2br w:val="nil"/>
                    <w:tr2bl w:val="nil"/>
                  </w:tcBorders>
                  <w:vAlign w:val="center"/>
                </w:tcPr>
                <w:p>
                  <w:pPr>
                    <w:widowControl/>
                    <w:spacing w:line="288" w:lineRule="auto"/>
                    <w:jc w:val="left"/>
                    <w:rPr>
                      <w:rFonts w:ascii="Times New Roman" w:hAnsi="Times New Roman" w:cs="Times New Roman"/>
                      <w:sz w:val="21"/>
                      <w:szCs w:val="21"/>
                    </w:rPr>
                  </w:pPr>
                  <w:r>
                    <w:rPr>
                      <w:rFonts w:hint="eastAsia" w:ascii="Times New Roman" w:hAnsi="Times New Roman" w:cs="Times New Roman"/>
                      <w:b/>
                      <w:bCs/>
                      <w:sz w:val="21"/>
                      <w:szCs w:val="21"/>
                    </w:rPr>
                    <w:t>大气环境</w:t>
                  </w:r>
                </w:p>
              </w:tc>
              <w:tc>
                <w:tcPr>
                  <w:tcW w:w="332" w:type="pct"/>
                  <w:tcBorders>
                    <w:tl2br w:val="nil"/>
                    <w:tr2bl w:val="nil"/>
                  </w:tcBorders>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1</w:t>
                  </w:r>
                </w:p>
              </w:tc>
              <w:tc>
                <w:tcPr>
                  <w:tcW w:w="898" w:type="pct"/>
                  <w:tcBorders>
                    <w:tl2br w:val="nil"/>
                    <w:tr2bl w:val="nil"/>
                  </w:tcBorders>
                  <w:vAlign w:val="center"/>
                </w:tcPr>
                <w:p>
                  <w:pPr>
                    <w:widowControl/>
                    <w:jc w:val="center"/>
                    <w:textAlignment w:val="center"/>
                    <w:rPr>
                      <w:rFonts w:ascii="Times New Roman" w:hAnsi="Times New Roman" w:cs="Times New Roman"/>
                      <w:sz w:val="21"/>
                      <w:szCs w:val="21"/>
                    </w:rPr>
                  </w:pPr>
                  <w:r>
                    <w:rPr>
                      <w:rFonts w:hint="eastAsia" w:ascii="宋体" w:hAnsi="宋体" w:cs="宋体"/>
                      <w:color w:val="000000"/>
                      <w:kern w:val="0"/>
                      <w:sz w:val="21"/>
                      <w:szCs w:val="21"/>
                      <w:lang w:bidi="ar"/>
                    </w:rPr>
                    <w:t>靖业格林小镇</w:t>
                  </w:r>
                </w:p>
              </w:tc>
              <w:tc>
                <w:tcPr>
                  <w:tcW w:w="654" w:type="pct"/>
                  <w:tcBorders>
                    <w:tl2br w:val="nil"/>
                    <w:tr2bl w:val="nil"/>
                  </w:tcBorders>
                  <w:vAlign w:val="center"/>
                </w:tcPr>
                <w:p>
                  <w:pPr>
                    <w:widowControl/>
                    <w:jc w:val="center"/>
                    <w:textAlignment w:val="center"/>
                    <w:rPr>
                      <w:rFonts w:ascii="Times New Roman" w:hAnsi="Times New Roman" w:cs="Times New Roman"/>
                      <w:sz w:val="21"/>
                      <w:szCs w:val="21"/>
                    </w:rPr>
                  </w:pPr>
                  <w:r>
                    <w:rPr>
                      <w:rFonts w:hint="eastAsia" w:ascii="宋体" w:hAnsi="宋体" w:cs="宋体"/>
                      <w:color w:val="000000"/>
                      <w:kern w:val="0"/>
                      <w:sz w:val="21"/>
                      <w:szCs w:val="21"/>
                      <w:lang w:bidi="ar"/>
                    </w:rPr>
                    <w:t>西北</w:t>
                  </w:r>
                </w:p>
              </w:tc>
              <w:tc>
                <w:tcPr>
                  <w:tcW w:w="739" w:type="pct"/>
                  <w:tcBorders>
                    <w:tl2br w:val="nil"/>
                    <w:tr2bl w:val="nil"/>
                  </w:tcBorders>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1200</w:t>
                  </w:r>
                </w:p>
              </w:tc>
              <w:tc>
                <w:tcPr>
                  <w:tcW w:w="494" w:type="pct"/>
                  <w:tcBorders>
                    <w:tl2br w:val="nil"/>
                    <w:tr2bl w:val="nil"/>
                  </w:tcBorders>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1900</w:t>
                  </w:r>
                </w:p>
              </w:tc>
              <w:tc>
                <w:tcPr>
                  <w:tcW w:w="1616" w:type="pct"/>
                  <w:tcBorders>
                    <w:tl2br w:val="nil"/>
                    <w:tr2bl w:val="nil"/>
                  </w:tcBorders>
                  <w:vAlign w:val="center"/>
                </w:tcPr>
                <w:p>
                  <w:pPr>
                    <w:widowControl/>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居民楼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265" w:type="pct"/>
                  <w:vMerge w:val="continue"/>
                  <w:tcBorders>
                    <w:tl2br w:val="nil"/>
                    <w:tr2bl w:val="nil"/>
                  </w:tcBorders>
                  <w:vAlign w:val="center"/>
                </w:tcPr>
                <w:p>
                  <w:pPr>
                    <w:widowControl/>
                    <w:spacing w:line="288" w:lineRule="auto"/>
                    <w:jc w:val="left"/>
                    <w:rPr>
                      <w:rFonts w:ascii="Times New Roman" w:hAnsi="Times New Roman" w:cs="Times New Roman"/>
                      <w:sz w:val="21"/>
                      <w:szCs w:val="21"/>
                    </w:rPr>
                  </w:pPr>
                </w:p>
              </w:tc>
              <w:tc>
                <w:tcPr>
                  <w:tcW w:w="332" w:type="pct"/>
                  <w:tcBorders>
                    <w:tl2br w:val="nil"/>
                    <w:tr2bl w:val="nil"/>
                  </w:tcBorders>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2</w:t>
                  </w:r>
                </w:p>
              </w:tc>
              <w:tc>
                <w:tcPr>
                  <w:tcW w:w="898" w:type="pct"/>
                  <w:tcBorders>
                    <w:tl2br w:val="nil"/>
                    <w:tr2bl w:val="nil"/>
                  </w:tcBorders>
                  <w:vAlign w:val="center"/>
                </w:tcPr>
                <w:p>
                  <w:pPr>
                    <w:widowControl/>
                    <w:jc w:val="center"/>
                    <w:textAlignment w:val="center"/>
                    <w:rPr>
                      <w:rFonts w:ascii="Times New Roman" w:hAnsi="Times New Roman" w:cs="Times New Roman"/>
                      <w:sz w:val="21"/>
                      <w:szCs w:val="21"/>
                    </w:rPr>
                  </w:pPr>
                  <w:r>
                    <w:rPr>
                      <w:rFonts w:hint="eastAsia" w:ascii="宋体" w:hAnsi="宋体" w:cs="宋体"/>
                      <w:color w:val="000000"/>
                      <w:kern w:val="0"/>
                      <w:sz w:val="21"/>
                      <w:szCs w:val="21"/>
                      <w:lang w:bidi="ar"/>
                    </w:rPr>
                    <w:t>新联学院</w:t>
                  </w:r>
                </w:p>
              </w:tc>
              <w:tc>
                <w:tcPr>
                  <w:tcW w:w="654" w:type="pct"/>
                  <w:tcBorders>
                    <w:tl2br w:val="nil"/>
                    <w:tr2bl w:val="nil"/>
                  </w:tcBorders>
                  <w:vAlign w:val="center"/>
                </w:tcPr>
                <w:p>
                  <w:pPr>
                    <w:widowControl/>
                    <w:jc w:val="center"/>
                    <w:textAlignment w:val="center"/>
                    <w:rPr>
                      <w:rFonts w:ascii="Times New Roman" w:hAnsi="Times New Roman" w:cs="Times New Roman"/>
                      <w:sz w:val="21"/>
                      <w:szCs w:val="21"/>
                    </w:rPr>
                  </w:pPr>
                  <w:r>
                    <w:rPr>
                      <w:rFonts w:hint="eastAsia" w:ascii="宋体" w:hAnsi="宋体" w:cs="宋体"/>
                      <w:color w:val="000000"/>
                      <w:kern w:val="0"/>
                      <w:sz w:val="21"/>
                      <w:szCs w:val="21"/>
                      <w:lang w:bidi="ar"/>
                    </w:rPr>
                    <w:t>北</w:t>
                  </w:r>
                </w:p>
              </w:tc>
              <w:tc>
                <w:tcPr>
                  <w:tcW w:w="739" w:type="pct"/>
                  <w:tcBorders>
                    <w:tl2br w:val="nil"/>
                    <w:tr2bl w:val="nil"/>
                  </w:tcBorders>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800</w:t>
                  </w:r>
                </w:p>
              </w:tc>
              <w:tc>
                <w:tcPr>
                  <w:tcW w:w="494" w:type="pct"/>
                  <w:tcBorders>
                    <w:tl2br w:val="nil"/>
                    <w:tr2bl w:val="nil"/>
                  </w:tcBorders>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19000</w:t>
                  </w:r>
                </w:p>
              </w:tc>
              <w:tc>
                <w:tcPr>
                  <w:tcW w:w="1616" w:type="pct"/>
                  <w:tcBorders>
                    <w:tl2br w:val="nil"/>
                    <w:tr2bl w:val="nil"/>
                  </w:tcBorders>
                  <w:vAlign w:val="center"/>
                </w:tcPr>
                <w:p>
                  <w:pPr>
                    <w:widowControl/>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学校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265" w:type="pct"/>
                  <w:vMerge w:val="continue"/>
                  <w:tcBorders>
                    <w:tl2br w:val="nil"/>
                    <w:tr2bl w:val="nil"/>
                  </w:tcBorders>
                  <w:vAlign w:val="center"/>
                </w:tcPr>
                <w:p>
                  <w:pPr>
                    <w:widowControl/>
                    <w:spacing w:line="288" w:lineRule="auto"/>
                    <w:jc w:val="left"/>
                    <w:rPr>
                      <w:rFonts w:ascii="Times New Roman" w:hAnsi="Times New Roman" w:cs="Times New Roman"/>
                      <w:sz w:val="21"/>
                      <w:szCs w:val="21"/>
                    </w:rPr>
                  </w:pPr>
                </w:p>
              </w:tc>
              <w:tc>
                <w:tcPr>
                  <w:tcW w:w="332" w:type="pct"/>
                  <w:tcBorders>
                    <w:tl2br w:val="nil"/>
                    <w:tr2bl w:val="nil"/>
                  </w:tcBorders>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3</w:t>
                  </w:r>
                </w:p>
              </w:tc>
              <w:tc>
                <w:tcPr>
                  <w:tcW w:w="898" w:type="pct"/>
                  <w:tcBorders>
                    <w:tl2br w:val="nil"/>
                    <w:tr2bl w:val="nil"/>
                  </w:tcBorders>
                  <w:vAlign w:val="center"/>
                </w:tcPr>
                <w:p>
                  <w:pPr>
                    <w:widowControl/>
                    <w:jc w:val="center"/>
                    <w:textAlignment w:val="center"/>
                    <w:rPr>
                      <w:rFonts w:ascii="Times New Roman" w:hAnsi="Times New Roman" w:cs="Times New Roman"/>
                      <w:sz w:val="21"/>
                      <w:szCs w:val="21"/>
                    </w:rPr>
                  </w:pPr>
                  <w:r>
                    <w:rPr>
                      <w:rFonts w:hint="eastAsia" w:ascii="宋体" w:hAnsi="宋体" w:cs="宋体"/>
                      <w:color w:val="000000"/>
                      <w:kern w:val="0"/>
                      <w:sz w:val="21"/>
                      <w:szCs w:val="21"/>
                      <w:lang w:bidi="ar"/>
                    </w:rPr>
                    <w:t>新城花园</w:t>
                  </w:r>
                </w:p>
              </w:tc>
              <w:tc>
                <w:tcPr>
                  <w:tcW w:w="654" w:type="pct"/>
                  <w:tcBorders>
                    <w:tl2br w:val="nil"/>
                    <w:tr2bl w:val="nil"/>
                  </w:tcBorders>
                  <w:vAlign w:val="center"/>
                </w:tcPr>
                <w:p>
                  <w:pPr>
                    <w:widowControl/>
                    <w:jc w:val="center"/>
                    <w:textAlignment w:val="center"/>
                    <w:rPr>
                      <w:rFonts w:ascii="Times New Roman" w:hAnsi="Times New Roman" w:cs="Times New Roman"/>
                      <w:sz w:val="21"/>
                      <w:szCs w:val="21"/>
                    </w:rPr>
                  </w:pPr>
                  <w:r>
                    <w:rPr>
                      <w:rFonts w:hint="eastAsia" w:ascii="宋体" w:hAnsi="宋体" w:cs="宋体"/>
                      <w:color w:val="000000"/>
                      <w:kern w:val="0"/>
                      <w:sz w:val="21"/>
                      <w:szCs w:val="21"/>
                      <w:lang w:bidi="ar"/>
                    </w:rPr>
                    <w:t>北</w:t>
                  </w:r>
                </w:p>
              </w:tc>
              <w:tc>
                <w:tcPr>
                  <w:tcW w:w="739" w:type="pct"/>
                  <w:tcBorders>
                    <w:tl2br w:val="nil"/>
                    <w:tr2bl w:val="nil"/>
                  </w:tcBorders>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1200</w:t>
                  </w:r>
                </w:p>
              </w:tc>
              <w:tc>
                <w:tcPr>
                  <w:tcW w:w="494" w:type="pct"/>
                  <w:tcBorders>
                    <w:tl2br w:val="nil"/>
                    <w:tr2bl w:val="nil"/>
                  </w:tcBorders>
                  <w:vAlign w:val="center"/>
                </w:tcPr>
                <w:p>
                  <w:pPr>
                    <w:widowControl/>
                    <w:jc w:val="center"/>
                    <w:textAlignment w:val="center"/>
                    <w:rPr>
                      <w:rFonts w:ascii="Times New Roman" w:hAnsi="Times New Roman" w:cs="Times New Roman"/>
                      <w:sz w:val="21"/>
                      <w:szCs w:val="21"/>
                    </w:rPr>
                  </w:pPr>
                  <w:r>
                    <w:rPr>
                      <w:rFonts w:ascii="Times New Roman" w:hAnsi="Times New Roman" w:cs="Times New Roman"/>
                      <w:color w:val="000000"/>
                      <w:kern w:val="0"/>
                      <w:sz w:val="21"/>
                      <w:szCs w:val="21"/>
                      <w:lang w:bidi="ar"/>
                    </w:rPr>
                    <w:t>240</w:t>
                  </w:r>
                </w:p>
              </w:tc>
              <w:tc>
                <w:tcPr>
                  <w:tcW w:w="1616" w:type="pct"/>
                  <w:tcBorders>
                    <w:tl2br w:val="nil"/>
                    <w:tr2bl w:val="nil"/>
                  </w:tcBorders>
                  <w:vAlign w:val="center"/>
                </w:tcPr>
                <w:p>
                  <w:pPr>
                    <w:widowControl/>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居民楼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265" w:type="pct"/>
                  <w:vMerge w:val="continue"/>
                  <w:tcBorders>
                    <w:tl2br w:val="nil"/>
                    <w:tr2bl w:val="nil"/>
                  </w:tcBorders>
                  <w:vAlign w:val="center"/>
                </w:tcPr>
                <w:p>
                  <w:pPr>
                    <w:widowControl/>
                    <w:spacing w:line="288" w:lineRule="auto"/>
                    <w:jc w:val="left"/>
                    <w:rPr>
                      <w:rFonts w:ascii="Times New Roman" w:hAnsi="Times New Roman" w:cs="Times New Roman"/>
                      <w:sz w:val="21"/>
                      <w:szCs w:val="21"/>
                    </w:rPr>
                  </w:pPr>
                </w:p>
              </w:tc>
              <w:tc>
                <w:tcPr>
                  <w:tcW w:w="332" w:type="pct"/>
                  <w:tcBorders>
                    <w:tl2br w:val="nil"/>
                    <w:tr2bl w:val="nil"/>
                  </w:tcBorders>
                  <w:vAlign w:val="center"/>
                </w:tcPr>
                <w:p>
                  <w:pPr>
                    <w:widowControl/>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4</w:t>
                  </w:r>
                </w:p>
              </w:tc>
              <w:tc>
                <w:tcPr>
                  <w:tcW w:w="898" w:type="pct"/>
                  <w:tcBorders>
                    <w:tl2br w:val="nil"/>
                    <w:tr2bl w:val="nil"/>
                  </w:tcBorders>
                  <w:vAlign w:val="center"/>
                </w:tcPr>
                <w:p>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信合湖畔春天</w:t>
                  </w:r>
                </w:p>
              </w:tc>
              <w:tc>
                <w:tcPr>
                  <w:tcW w:w="654" w:type="pct"/>
                  <w:tcBorders>
                    <w:tl2br w:val="nil"/>
                    <w:tr2bl w:val="nil"/>
                  </w:tcBorders>
                  <w:vAlign w:val="center"/>
                </w:tcPr>
                <w:p>
                  <w:pPr>
                    <w:widowControl/>
                    <w:jc w:val="center"/>
                    <w:textAlignment w:val="center"/>
                    <w:rPr>
                      <w:rFonts w:ascii="Times New Roman" w:hAnsi="Times New Roman" w:cs="Times New Roman"/>
                      <w:sz w:val="21"/>
                      <w:szCs w:val="21"/>
                    </w:rPr>
                  </w:pPr>
                  <w:r>
                    <w:rPr>
                      <w:rFonts w:hint="eastAsia" w:ascii="宋体" w:hAnsi="宋体" w:cs="宋体"/>
                      <w:color w:val="000000"/>
                      <w:kern w:val="0"/>
                      <w:sz w:val="21"/>
                      <w:szCs w:val="21"/>
                      <w:lang w:bidi="ar"/>
                    </w:rPr>
                    <w:t>北</w:t>
                  </w:r>
                </w:p>
              </w:tc>
              <w:tc>
                <w:tcPr>
                  <w:tcW w:w="739" w:type="pct"/>
                  <w:tcBorders>
                    <w:tl2br w:val="nil"/>
                    <w:tr2bl w:val="nil"/>
                  </w:tcBorders>
                  <w:vAlign w:val="center"/>
                </w:tcPr>
                <w:p>
                  <w:pPr>
                    <w:widowControl/>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1400</w:t>
                  </w:r>
                </w:p>
              </w:tc>
              <w:tc>
                <w:tcPr>
                  <w:tcW w:w="494" w:type="pct"/>
                  <w:tcBorders>
                    <w:tl2br w:val="nil"/>
                    <w:tr2bl w:val="nil"/>
                  </w:tcBorders>
                  <w:vAlign w:val="center"/>
                </w:tcPr>
                <w:p>
                  <w:pPr>
                    <w:widowControl/>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600</w:t>
                  </w:r>
                </w:p>
              </w:tc>
              <w:tc>
                <w:tcPr>
                  <w:tcW w:w="1616" w:type="pct"/>
                  <w:tcBorders>
                    <w:tl2br w:val="nil"/>
                    <w:tr2bl w:val="nil"/>
                  </w:tcBorders>
                  <w:vAlign w:val="center"/>
                </w:tcPr>
                <w:p>
                  <w:pPr>
                    <w:widowControl/>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居民楼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265" w:type="pct"/>
                  <w:vMerge w:val="continue"/>
                  <w:tcBorders>
                    <w:tl2br w:val="nil"/>
                    <w:tr2bl w:val="nil"/>
                  </w:tcBorders>
                  <w:vAlign w:val="center"/>
                </w:tcPr>
                <w:p>
                  <w:pPr>
                    <w:widowControl/>
                    <w:spacing w:line="288" w:lineRule="auto"/>
                    <w:jc w:val="left"/>
                    <w:rPr>
                      <w:rFonts w:ascii="Times New Roman" w:hAnsi="Times New Roman" w:cs="Times New Roman"/>
                      <w:sz w:val="21"/>
                      <w:szCs w:val="21"/>
                    </w:rPr>
                  </w:pPr>
                </w:p>
              </w:tc>
              <w:tc>
                <w:tcPr>
                  <w:tcW w:w="332" w:type="pct"/>
                  <w:tcBorders>
                    <w:tl2br w:val="nil"/>
                    <w:tr2bl w:val="nil"/>
                  </w:tcBorders>
                  <w:vAlign w:val="center"/>
                </w:tcPr>
                <w:p>
                  <w:pPr>
                    <w:widowControl/>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5</w:t>
                  </w:r>
                </w:p>
              </w:tc>
              <w:tc>
                <w:tcPr>
                  <w:tcW w:w="898" w:type="pct"/>
                  <w:tcBorders>
                    <w:tl2br w:val="nil"/>
                    <w:tr2bl w:val="nil"/>
                  </w:tcBorders>
                  <w:vAlign w:val="center"/>
                </w:tcPr>
                <w:p>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孟电观澜壹号</w:t>
                  </w:r>
                </w:p>
              </w:tc>
              <w:tc>
                <w:tcPr>
                  <w:tcW w:w="654" w:type="pct"/>
                  <w:tcBorders>
                    <w:tl2br w:val="nil"/>
                    <w:tr2bl w:val="nil"/>
                  </w:tcBorders>
                  <w:vAlign w:val="center"/>
                </w:tcPr>
                <w:p>
                  <w:pPr>
                    <w:widowControl/>
                    <w:jc w:val="center"/>
                    <w:textAlignment w:val="center"/>
                    <w:rPr>
                      <w:rFonts w:ascii="Times New Roman" w:hAnsi="Times New Roman" w:cs="Times New Roman"/>
                      <w:sz w:val="21"/>
                      <w:szCs w:val="21"/>
                    </w:rPr>
                  </w:pPr>
                  <w:r>
                    <w:rPr>
                      <w:rFonts w:hint="eastAsia" w:ascii="宋体" w:hAnsi="宋体" w:cs="宋体"/>
                      <w:color w:val="000000"/>
                      <w:kern w:val="0"/>
                      <w:sz w:val="21"/>
                      <w:szCs w:val="21"/>
                      <w:lang w:bidi="ar"/>
                    </w:rPr>
                    <w:t>北</w:t>
                  </w:r>
                </w:p>
              </w:tc>
              <w:tc>
                <w:tcPr>
                  <w:tcW w:w="739" w:type="pct"/>
                  <w:tcBorders>
                    <w:tl2br w:val="nil"/>
                    <w:tr2bl w:val="nil"/>
                  </w:tcBorders>
                  <w:vAlign w:val="center"/>
                </w:tcPr>
                <w:p>
                  <w:pPr>
                    <w:widowControl/>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1400</w:t>
                  </w:r>
                </w:p>
              </w:tc>
              <w:tc>
                <w:tcPr>
                  <w:tcW w:w="494" w:type="pct"/>
                  <w:tcBorders>
                    <w:tl2br w:val="nil"/>
                    <w:tr2bl w:val="nil"/>
                  </w:tcBorders>
                  <w:vAlign w:val="center"/>
                </w:tcPr>
                <w:p>
                  <w:pPr>
                    <w:widowControl/>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1500</w:t>
                  </w:r>
                </w:p>
              </w:tc>
              <w:tc>
                <w:tcPr>
                  <w:tcW w:w="1616" w:type="pct"/>
                  <w:tcBorders>
                    <w:tl2br w:val="nil"/>
                    <w:tr2bl w:val="nil"/>
                  </w:tcBorders>
                  <w:vAlign w:val="center"/>
                </w:tcPr>
                <w:p>
                  <w:pPr>
                    <w:widowControl/>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居民楼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265" w:type="pct"/>
                  <w:vMerge w:val="continue"/>
                  <w:tcBorders>
                    <w:tl2br w:val="nil"/>
                    <w:tr2bl w:val="nil"/>
                  </w:tcBorders>
                  <w:vAlign w:val="center"/>
                </w:tcPr>
                <w:p>
                  <w:pPr>
                    <w:widowControl/>
                    <w:spacing w:line="288" w:lineRule="auto"/>
                    <w:jc w:val="left"/>
                    <w:rPr>
                      <w:rFonts w:ascii="Times New Roman" w:hAnsi="Times New Roman" w:cs="Times New Roman"/>
                      <w:sz w:val="21"/>
                      <w:szCs w:val="21"/>
                    </w:rPr>
                  </w:pPr>
                </w:p>
              </w:tc>
              <w:tc>
                <w:tcPr>
                  <w:tcW w:w="332" w:type="pct"/>
                  <w:tcBorders>
                    <w:tl2br w:val="nil"/>
                    <w:tr2bl w:val="nil"/>
                  </w:tcBorders>
                  <w:vAlign w:val="center"/>
                </w:tcPr>
                <w:p>
                  <w:pPr>
                    <w:widowControl/>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6</w:t>
                  </w:r>
                </w:p>
              </w:tc>
              <w:tc>
                <w:tcPr>
                  <w:tcW w:w="898" w:type="pct"/>
                  <w:tcBorders>
                    <w:tl2br w:val="nil"/>
                    <w:tr2bl w:val="nil"/>
                  </w:tcBorders>
                  <w:vAlign w:val="center"/>
                </w:tcPr>
                <w:p>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云溪九里</w:t>
                  </w:r>
                </w:p>
              </w:tc>
              <w:tc>
                <w:tcPr>
                  <w:tcW w:w="654" w:type="pct"/>
                  <w:tcBorders>
                    <w:tl2br w:val="nil"/>
                    <w:tr2bl w:val="nil"/>
                  </w:tcBorders>
                  <w:vAlign w:val="center"/>
                </w:tcPr>
                <w:p>
                  <w:pPr>
                    <w:widowControl/>
                    <w:jc w:val="center"/>
                    <w:textAlignment w:val="center"/>
                    <w:rPr>
                      <w:rFonts w:ascii="Times New Roman" w:hAnsi="Times New Roman" w:cs="Times New Roman"/>
                      <w:sz w:val="21"/>
                      <w:szCs w:val="21"/>
                    </w:rPr>
                  </w:pPr>
                  <w:r>
                    <w:rPr>
                      <w:rFonts w:hint="eastAsia" w:ascii="宋体" w:hAnsi="宋体" w:cs="宋体"/>
                      <w:color w:val="000000"/>
                      <w:kern w:val="0"/>
                      <w:sz w:val="21"/>
                      <w:szCs w:val="21"/>
                      <w:lang w:bidi="ar"/>
                    </w:rPr>
                    <w:t>北</w:t>
                  </w:r>
                </w:p>
              </w:tc>
              <w:tc>
                <w:tcPr>
                  <w:tcW w:w="739" w:type="pct"/>
                  <w:tcBorders>
                    <w:tl2br w:val="nil"/>
                    <w:tr2bl w:val="nil"/>
                  </w:tcBorders>
                  <w:vAlign w:val="center"/>
                </w:tcPr>
                <w:p>
                  <w:pPr>
                    <w:widowControl/>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1300</w:t>
                  </w:r>
                </w:p>
              </w:tc>
              <w:tc>
                <w:tcPr>
                  <w:tcW w:w="494" w:type="pct"/>
                  <w:tcBorders>
                    <w:tl2br w:val="nil"/>
                    <w:tr2bl w:val="nil"/>
                  </w:tcBorders>
                  <w:vAlign w:val="center"/>
                </w:tcPr>
                <w:p>
                  <w:pPr>
                    <w:widowControl/>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400</w:t>
                  </w:r>
                </w:p>
              </w:tc>
              <w:tc>
                <w:tcPr>
                  <w:tcW w:w="1616" w:type="pct"/>
                  <w:tcBorders>
                    <w:tl2br w:val="nil"/>
                    <w:tr2bl w:val="nil"/>
                  </w:tcBorders>
                  <w:vAlign w:val="center"/>
                </w:tcPr>
                <w:p>
                  <w:pPr>
                    <w:widowControl/>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居民楼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597" w:type="pct"/>
                  <w:gridSpan w:val="2"/>
                  <w:tcBorders>
                    <w:tl2br w:val="nil"/>
                    <w:tr2bl w:val="nil"/>
                  </w:tcBorders>
                  <w:vAlign w:val="center"/>
                </w:tcPr>
                <w:p>
                  <w:pPr>
                    <w:pStyle w:val="79"/>
                    <w:spacing w:line="288" w:lineRule="auto"/>
                    <w:ind w:firstLine="0"/>
                    <w:jc w:val="center"/>
                    <w:rPr>
                      <w:rFonts w:hint="default" w:ascii="Times New Roman" w:hAnsi="Times New Roman"/>
                      <w:szCs w:val="21"/>
                    </w:rPr>
                  </w:pPr>
                  <w:r>
                    <w:rPr>
                      <w:rFonts w:asciiTheme="minorEastAsia" w:hAnsiTheme="minorEastAsia" w:eastAsiaTheme="minorEastAsia"/>
                      <w:szCs w:val="21"/>
                      <w:lang w:eastAsia="zh-CN"/>
                    </w:rPr>
                    <w:t>水</w:t>
                  </w:r>
                  <w:r>
                    <w:rPr>
                      <w:rFonts w:hint="default" w:ascii="Times New Roman" w:hAnsi="Times New Roman"/>
                      <w:szCs w:val="21"/>
                    </w:rPr>
                    <w:t>环境</w:t>
                  </w:r>
                </w:p>
              </w:tc>
              <w:tc>
                <w:tcPr>
                  <w:tcW w:w="898"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大沙河</w:t>
                  </w:r>
                </w:p>
              </w:tc>
              <w:tc>
                <w:tcPr>
                  <w:tcW w:w="654"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北</w:t>
                  </w:r>
                </w:p>
              </w:tc>
              <w:tc>
                <w:tcPr>
                  <w:tcW w:w="739"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1450</w:t>
                  </w:r>
                </w:p>
              </w:tc>
              <w:tc>
                <w:tcPr>
                  <w:tcW w:w="494"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616" w:type="pct"/>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符合</w:t>
                  </w:r>
                  <w:r>
                    <w:rPr>
                      <w:rFonts w:ascii="Times New Roman" w:hAnsi="Times New Roman" w:cs="Times New Roman"/>
                      <w:sz w:val="21"/>
                      <w:szCs w:val="21"/>
                    </w:rPr>
                    <w:t>《地表水环境质量标准》（GB3838-2002）IV类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434" w:hRule="atLeast"/>
                <w:tblHeader/>
                <w:jc w:val="center"/>
              </w:trPr>
              <w:tc>
                <w:tcPr>
                  <w:tcW w:w="597" w:type="pct"/>
                  <w:gridSpan w:val="2"/>
                  <w:tcBorders>
                    <w:tl2br w:val="nil"/>
                    <w:tr2bl w:val="nil"/>
                  </w:tcBorders>
                  <w:vAlign w:val="center"/>
                </w:tcPr>
                <w:p>
                  <w:pPr>
                    <w:pStyle w:val="79"/>
                    <w:spacing w:line="288" w:lineRule="auto"/>
                    <w:ind w:firstLine="0"/>
                    <w:jc w:val="center"/>
                    <w:rPr>
                      <w:rFonts w:hint="default" w:ascii="Times New Roman" w:hAnsi="Times New Roman"/>
                      <w:szCs w:val="21"/>
                    </w:rPr>
                  </w:pPr>
                  <w:r>
                    <w:rPr>
                      <w:rFonts w:hint="default" w:ascii="Times New Roman" w:hAnsi="Times New Roman"/>
                      <w:szCs w:val="21"/>
                    </w:rPr>
                    <w:t>地下水</w:t>
                  </w:r>
                </w:p>
              </w:tc>
              <w:tc>
                <w:tcPr>
                  <w:tcW w:w="898"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古固寨镇地下水饮用水源</w:t>
                  </w:r>
                </w:p>
              </w:tc>
              <w:tc>
                <w:tcPr>
                  <w:tcW w:w="654"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西南</w:t>
                  </w:r>
                </w:p>
              </w:tc>
              <w:tc>
                <w:tcPr>
                  <w:tcW w:w="739" w:type="pct"/>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7750</w:t>
                  </w:r>
                </w:p>
              </w:tc>
              <w:tc>
                <w:tcPr>
                  <w:tcW w:w="494"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616" w:type="pct"/>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符合</w:t>
                  </w:r>
                  <w:r>
                    <w:rPr>
                      <w:rFonts w:ascii="Times New Roman" w:hAnsi="Times New Roman"/>
                      <w:bCs/>
                      <w:sz w:val="21"/>
                      <w:szCs w:val="21"/>
                    </w:rPr>
                    <w:t>饮用水源保护区规划</w:t>
                  </w:r>
                  <w:r>
                    <w:rPr>
                      <w:rFonts w:hint="eastAsia" w:ascii="Times New Roman" w:hAnsi="Times New Roman" w:cs="Times New Roman"/>
                      <w:sz w:val="21"/>
                      <w:szCs w:val="21"/>
                    </w:rPr>
                    <w:t>、</w:t>
                  </w:r>
                  <w:r>
                    <w:rPr>
                      <w:rFonts w:ascii="Times New Roman" w:hAnsi="Times New Roman" w:cs="Times New Roman"/>
                      <w:sz w:val="21"/>
                      <w:szCs w:val="21"/>
                    </w:rPr>
                    <w:t>《地下水环境质量标准》（GB/T14848-2017）III类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597" w:type="pct"/>
                  <w:gridSpan w:val="2"/>
                  <w:tcBorders>
                    <w:tl2br w:val="nil"/>
                    <w:tr2bl w:val="nil"/>
                  </w:tcBorders>
                  <w:vAlign w:val="center"/>
                </w:tcPr>
                <w:p>
                  <w:pPr>
                    <w:pStyle w:val="79"/>
                    <w:spacing w:line="288" w:lineRule="auto"/>
                    <w:ind w:firstLine="0"/>
                    <w:jc w:val="center"/>
                    <w:rPr>
                      <w:rFonts w:hint="default" w:ascii="Times New Roman" w:hAnsi="Times New Roman"/>
                      <w:szCs w:val="21"/>
                    </w:rPr>
                  </w:pPr>
                  <w:r>
                    <w:rPr>
                      <w:rFonts w:hint="default" w:ascii="Times New Roman" w:hAnsi="Times New Roman"/>
                      <w:szCs w:val="21"/>
                    </w:rPr>
                    <w:t>声环境</w:t>
                  </w:r>
                </w:p>
              </w:tc>
              <w:tc>
                <w:tcPr>
                  <w:tcW w:w="898"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厂界四周</w:t>
                  </w:r>
                </w:p>
              </w:tc>
              <w:tc>
                <w:tcPr>
                  <w:tcW w:w="654"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739"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494" w:type="pct"/>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1616" w:type="pct"/>
                  <w:tcBorders>
                    <w:tl2br w:val="nil"/>
                    <w:tr2bl w:val="nil"/>
                  </w:tcBorders>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符合</w:t>
                  </w:r>
                  <w:r>
                    <w:rPr>
                      <w:rFonts w:ascii="Times New Roman" w:hAnsi="Times New Roman" w:cs="Times New Roman"/>
                      <w:sz w:val="21"/>
                      <w:szCs w:val="21"/>
                    </w:rPr>
                    <w:t>《声环境质量标准》（GB3096-2008）</w:t>
                  </w:r>
                  <w:r>
                    <w:rPr>
                      <w:rFonts w:hint="eastAsia" w:ascii="Times New Roman" w:hAnsi="Times New Roman" w:cs="Times New Roman"/>
                      <w:sz w:val="21"/>
                      <w:szCs w:val="21"/>
                    </w:rPr>
                    <w:t>3类</w:t>
                  </w:r>
                </w:p>
              </w:tc>
            </w:tr>
          </w:tbl>
          <w:p>
            <w:pPr>
              <w:jc w:val="left"/>
              <w:rPr>
                <w:rFonts w:ascii="Times New Roman" w:hAnsi="Times New Roman" w:cs="Times New Roman"/>
              </w:rPr>
            </w:pPr>
          </w:p>
        </w:tc>
      </w:tr>
    </w:tbl>
    <w:p>
      <w:pPr>
        <w:jc w:val="left"/>
        <w:outlineLvl w:val="0"/>
        <w:rPr>
          <w:rStyle w:val="103"/>
        </w:rPr>
      </w:pPr>
      <w:r>
        <w:rPr>
          <w:rFonts w:ascii="Times New Roman" w:hAnsi="Times New Roman" w:cs="Times New Roman"/>
          <w:b/>
          <w:sz w:val="30"/>
        </w:rPr>
        <w:br w:type="page"/>
      </w:r>
      <w:r>
        <w:rPr>
          <w:rStyle w:val="103"/>
        </w:rPr>
        <w:t>评价适用标准</w:t>
      </w:r>
    </w:p>
    <w:tbl>
      <w:tblPr>
        <w:tblStyle w:val="28"/>
        <w:tblW w:w="8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环境质量标准</w:t>
            </w:r>
          </w:p>
        </w:tc>
        <w:tc>
          <w:tcPr>
            <w:tcW w:w="8353" w:type="dxa"/>
            <w:vAlign w:val="center"/>
          </w:tcPr>
          <w:tbl>
            <w:tblPr>
              <w:tblStyle w:val="28"/>
              <w:tblW w:w="815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90"/>
              <w:gridCol w:w="1076"/>
              <w:gridCol w:w="1006"/>
              <w:gridCol w:w="25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Align w:val="center"/>
                </w:tcPr>
                <w:p>
                  <w:pPr>
                    <w:spacing w:line="288" w:lineRule="auto"/>
                    <w:jc w:val="center"/>
                    <w:rPr>
                      <w:rFonts w:ascii="Times New Roman" w:hAnsi="Times New Roman" w:cs="Times New Roman"/>
                      <w:sz w:val="21"/>
                      <w:szCs w:val="21"/>
                    </w:rPr>
                  </w:pPr>
                  <w:r>
                    <w:rPr>
                      <w:rFonts w:ascii="Times New Roman" w:cs="Times New Roman"/>
                      <w:sz w:val="21"/>
                      <w:szCs w:val="21"/>
                    </w:rPr>
                    <w:t>评价标准及级别</w:t>
                  </w:r>
                </w:p>
              </w:tc>
              <w:tc>
                <w:tcPr>
                  <w:tcW w:w="2082" w:type="dxa"/>
                  <w:gridSpan w:val="2"/>
                  <w:vAlign w:val="center"/>
                </w:tcPr>
                <w:p>
                  <w:pPr>
                    <w:spacing w:line="288" w:lineRule="auto"/>
                    <w:jc w:val="center"/>
                    <w:rPr>
                      <w:rFonts w:ascii="Times New Roman" w:hAnsi="Times New Roman" w:cs="Times New Roman"/>
                      <w:sz w:val="21"/>
                      <w:szCs w:val="21"/>
                    </w:rPr>
                  </w:pPr>
                  <w:r>
                    <w:rPr>
                      <w:rFonts w:ascii="Times New Roman" w:cs="Times New Roman"/>
                      <w:sz w:val="21"/>
                      <w:szCs w:val="21"/>
                    </w:rPr>
                    <w:t>项目</w:t>
                  </w:r>
                </w:p>
              </w:tc>
              <w:tc>
                <w:tcPr>
                  <w:tcW w:w="2581" w:type="dxa"/>
                  <w:vAlign w:val="center"/>
                </w:tcPr>
                <w:p>
                  <w:pPr>
                    <w:spacing w:line="288" w:lineRule="auto"/>
                    <w:jc w:val="center"/>
                    <w:rPr>
                      <w:rFonts w:ascii="Times New Roman" w:hAnsi="Times New Roman" w:cs="Times New Roman"/>
                      <w:sz w:val="21"/>
                      <w:szCs w:val="21"/>
                    </w:rPr>
                  </w:pPr>
                  <w:r>
                    <w:rPr>
                      <w:rFonts w:ascii="Times New Roman" w:cs="Times New Roman"/>
                      <w:sz w:val="21"/>
                      <w:szCs w:val="21"/>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restart"/>
                  <w:vAlign w:val="center"/>
                </w:tcPr>
                <w:p>
                  <w:pPr>
                    <w:tabs>
                      <w:tab w:val="left" w:pos="600"/>
                    </w:tabs>
                    <w:spacing w:line="288" w:lineRule="auto"/>
                    <w:jc w:val="center"/>
                    <w:rPr>
                      <w:rFonts w:ascii="Times New Roman" w:hAnsi="Times New Roman" w:cs="Times New Roman"/>
                      <w:sz w:val="21"/>
                      <w:szCs w:val="21"/>
                    </w:rPr>
                  </w:pPr>
                  <w:r>
                    <w:rPr>
                      <w:rFonts w:ascii="Times New Roman" w:cs="Times New Roman"/>
                      <w:sz w:val="21"/>
                      <w:szCs w:val="21"/>
                    </w:rPr>
                    <w:t>《环境空气质量标准》</w:t>
                  </w:r>
                </w:p>
                <w:p>
                  <w:pPr>
                    <w:spacing w:line="288" w:lineRule="auto"/>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rPr>
                    <w:t>GB3095-2012</w:t>
                  </w:r>
                  <w:r>
                    <w:rPr>
                      <w:rFonts w:ascii="Times New Roman" w:cs="Times New Roman"/>
                      <w:sz w:val="21"/>
                      <w:szCs w:val="21"/>
                    </w:rPr>
                    <w:t>）二级</w:t>
                  </w:r>
                </w:p>
              </w:tc>
              <w:tc>
                <w:tcPr>
                  <w:tcW w:w="2082" w:type="dxa"/>
                  <w:gridSpan w:val="2"/>
                  <w:vMerge w:val="restart"/>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2581" w:type="dxa"/>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24</w:t>
                  </w:r>
                  <w:r>
                    <w:rPr>
                      <w:rFonts w:ascii="Times New Roman" w:cs="Times New Roman"/>
                      <w:sz w:val="21"/>
                      <w:szCs w:val="21"/>
                    </w:rPr>
                    <w:t>小时均值：</w:t>
                  </w:r>
                  <w:r>
                    <w:rPr>
                      <w:rFonts w:ascii="Times New Roman" w:hAnsi="Times New Roman" w:cs="Times New Roman"/>
                      <w:sz w:val="21"/>
                      <w:szCs w:val="21"/>
                    </w:rPr>
                    <w:t>150μg/m</w:t>
                  </w:r>
                  <w:r>
                    <w:rPr>
                      <w:rFonts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continue"/>
                  <w:vAlign w:val="center"/>
                </w:tcPr>
                <w:p>
                  <w:pPr>
                    <w:tabs>
                      <w:tab w:val="left" w:pos="600"/>
                    </w:tabs>
                    <w:spacing w:line="288" w:lineRule="auto"/>
                    <w:jc w:val="center"/>
                    <w:rPr>
                      <w:rFonts w:ascii="Times New Roman" w:hAnsi="Times New Roman" w:cs="Times New Roman"/>
                      <w:sz w:val="21"/>
                      <w:szCs w:val="21"/>
                    </w:rPr>
                  </w:pPr>
                </w:p>
              </w:tc>
              <w:tc>
                <w:tcPr>
                  <w:tcW w:w="2082" w:type="dxa"/>
                  <w:gridSpan w:val="2"/>
                  <w:vMerge w:val="continue"/>
                  <w:vAlign w:val="center"/>
                </w:tcPr>
                <w:p>
                  <w:pPr>
                    <w:spacing w:line="288" w:lineRule="auto"/>
                    <w:jc w:val="center"/>
                    <w:rPr>
                      <w:rFonts w:ascii="Times New Roman" w:hAnsi="Times New Roman" w:cs="Times New Roman"/>
                      <w:sz w:val="21"/>
                      <w:szCs w:val="21"/>
                    </w:rPr>
                  </w:pPr>
                </w:p>
              </w:tc>
              <w:tc>
                <w:tcPr>
                  <w:tcW w:w="2581" w:type="dxa"/>
                  <w:vAlign w:val="center"/>
                </w:tcPr>
                <w:p>
                  <w:pPr>
                    <w:spacing w:line="288" w:lineRule="auto"/>
                    <w:jc w:val="center"/>
                    <w:rPr>
                      <w:rFonts w:ascii="Times New Roman" w:hAnsi="Times New Roman" w:cs="Times New Roman"/>
                      <w:sz w:val="21"/>
                      <w:szCs w:val="21"/>
                    </w:rPr>
                  </w:pPr>
                  <w:r>
                    <w:rPr>
                      <w:rFonts w:ascii="Times New Roman" w:cs="Times New Roman"/>
                      <w:sz w:val="21"/>
                      <w:szCs w:val="21"/>
                    </w:rPr>
                    <w:t>年平均值：</w:t>
                  </w:r>
                  <w:r>
                    <w:rPr>
                      <w:rFonts w:ascii="Times New Roman" w:hAnsi="Times New Roman" w:cs="Times New Roman"/>
                      <w:sz w:val="21"/>
                      <w:szCs w:val="21"/>
                    </w:rPr>
                    <w:t>60μg/m</w:t>
                  </w:r>
                  <w:r>
                    <w:rPr>
                      <w:rFonts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continue"/>
                  <w:vAlign w:val="center"/>
                </w:tcPr>
                <w:p>
                  <w:pPr>
                    <w:spacing w:line="288" w:lineRule="auto"/>
                    <w:jc w:val="center"/>
                    <w:rPr>
                      <w:rFonts w:ascii="Times New Roman" w:hAnsi="Times New Roman" w:cs="Times New Roman"/>
                      <w:sz w:val="21"/>
                      <w:szCs w:val="21"/>
                    </w:rPr>
                  </w:pPr>
                </w:p>
              </w:tc>
              <w:tc>
                <w:tcPr>
                  <w:tcW w:w="2082" w:type="dxa"/>
                  <w:gridSpan w:val="2"/>
                  <w:vMerge w:val="restart"/>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2</w:t>
                  </w:r>
                </w:p>
              </w:tc>
              <w:tc>
                <w:tcPr>
                  <w:tcW w:w="2581" w:type="dxa"/>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24</w:t>
                  </w:r>
                  <w:r>
                    <w:rPr>
                      <w:rFonts w:ascii="Times New Roman" w:cs="Times New Roman"/>
                      <w:sz w:val="21"/>
                      <w:szCs w:val="21"/>
                    </w:rPr>
                    <w:t>小时均值：</w:t>
                  </w:r>
                  <w:r>
                    <w:rPr>
                      <w:rFonts w:ascii="Times New Roman" w:hAnsi="Times New Roman" w:cs="Times New Roman"/>
                      <w:sz w:val="21"/>
                      <w:szCs w:val="21"/>
                    </w:rPr>
                    <w:t>80μg/m</w:t>
                  </w:r>
                  <w:r>
                    <w:rPr>
                      <w:rFonts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continue"/>
                  <w:vAlign w:val="center"/>
                </w:tcPr>
                <w:p>
                  <w:pPr>
                    <w:spacing w:line="288" w:lineRule="auto"/>
                    <w:jc w:val="center"/>
                    <w:rPr>
                      <w:rFonts w:ascii="Times New Roman" w:hAnsi="Times New Roman" w:cs="Times New Roman"/>
                      <w:sz w:val="21"/>
                      <w:szCs w:val="21"/>
                    </w:rPr>
                  </w:pPr>
                </w:p>
              </w:tc>
              <w:tc>
                <w:tcPr>
                  <w:tcW w:w="2082" w:type="dxa"/>
                  <w:gridSpan w:val="2"/>
                  <w:vMerge w:val="continue"/>
                  <w:vAlign w:val="center"/>
                </w:tcPr>
                <w:p>
                  <w:pPr>
                    <w:spacing w:line="288" w:lineRule="auto"/>
                    <w:jc w:val="center"/>
                    <w:rPr>
                      <w:rFonts w:ascii="Times New Roman" w:hAnsi="Times New Roman" w:cs="Times New Roman"/>
                      <w:sz w:val="21"/>
                      <w:szCs w:val="21"/>
                    </w:rPr>
                  </w:pPr>
                </w:p>
              </w:tc>
              <w:tc>
                <w:tcPr>
                  <w:tcW w:w="2581" w:type="dxa"/>
                  <w:vAlign w:val="center"/>
                </w:tcPr>
                <w:p>
                  <w:pPr>
                    <w:spacing w:line="288" w:lineRule="auto"/>
                    <w:jc w:val="center"/>
                    <w:rPr>
                      <w:rFonts w:ascii="Times New Roman" w:hAnsi="Times New Roman" w:cs="Times New Roman"/>
                      <w:sz w:val="21"/>
                      <w:szCs w:val="21"/>
                    </w:rPr>
                  </w:pPr>
                  <w:r>
                    <w:rPr>
                      <w:rFonts w:ascii="Times New Roman" w:cs="Times New Roman"/>
                      <w:sz w:val="21"/>
                      <w:szCs w:val="21"/>
                    </w:rPr>
                    <w:t>年平均值：</w:t>
                  </w:r>
                  <w:r>
                    <w:rPr>
                      <w:rFonts w:ascii="Times New Roman" w:hAnsi="Times New Roman" w:cs="Times New Roman"/>
                      <w:sz w:val="21"/>
                      <w:szCs w:val="21"/>
                    </w:rPr>
                    <w:t>40μg/m</w:t>
                  </w:r>
                  <w:r>
                    <w:rPr>
                      <w:rFonts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continue"/>
                  <w:vAlign w:val="center"/>
                </w:tcPr>
                <w:p>
                  <w:pPr>
                    <w:spacing w:line="288" w:lineRule="auto"/>
                    <w:jc w:val="center"/>
                    <w:rPr>
                      <w:rFonts w:ascii="Times New Roman" w:hAnsi="Times New Roman" w:cs="Times New Roman"/>
                      <w:sz w:val="21"/>
                      <w:szCs w:val="21"/>
                    </w:rPr>
                  </w:pPr>
                </w:p>
              </w:tc>
              <w:tc>
                <w:tcPr>
                  <w:tcW w:w="2082" w:type="dxa"/>
                  <w:gridSpan w:val="2"/>
                  <w:vMerge w:val="restart"/>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2581" w:type="dxa"/>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24</w:t>
                  </w:r>
                  <w:r>
                    <w:rPr>
                      <w:rFonts w:ascii="Times New Roman" w:cs="Times New Roman"/>
                      <w:sz w:val="21"/>
                      <w:szCs w:val="21"/>
                    </w:rPr>
                    <w:t>小时均值：</w:t>
                  </w:r>
                  <w:r>
                    <w:rPr>
                      <w:rFonts w:ascii="Times New Roman" w:hAnsi="Times New Roman" w:cs="Times New Roman"/>
                      <w:sz w:val="21"/>
                      <w:szCs w:val="21"/>
                    </w:rPr>
                    <w:t>150μg/m</w:t>
                  </w:r>
                  <w:r>
                    <w:rPr>
                      <w:rFonts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continue"/>
                  <w:vAlign w:val="center"/>
                </w:tcPr>
                <w:p>
                  <w:pPr>
                    <w:spacing w:line="288" w:lineRule="auto"/>
                    <w:jc w:val="center"/>
                    <w:rPr>
                      <w:rFonts w:ascii="Times New Roman" w:hAnsi="Times New Roman" w:cs="Times New Roman"/>
                      <w:sz w:val="21"/>
                      <w:szCs w:val="21"/>
                    </w:rPr>
                  </w:pPr>
                </w:p>
              </w:tc>
              <w:tc>
                <w:tcPr>
                  <w:tcW w:w="2082" w:type="dxa"/>
                  <w:gridSpan w:val="2"/>
                  <w:vMerge w:val="continue"/>
                  <w:vAlign w:val="center"/>
                </w:tcPr>
                <w:p>
                  <w:pPr>
                    <w:spacing w:line="288" w:lineRule="auto"/>
                    <w:jc w:val="center"/>
                    <w:rPr>
                      <w:rFonts w:ascii="Times New Roman" w:hAnsi="Times New Roman" w:cs="Times New Roman"/>
                      <w:sz w:val="21"/>
                      <w:szCs w:val="21"/>
                    </w:rPr>
                  </w:pPr>
                </w:p>
              </w:tc>
              <w:tc>
                <w:tcPr>
                  <w:tcW w:w="2581" w:type="dxa"/>
                  <w:vAlign w:val="center"/>
                </w:tcPr>
                <w:p>
                  <w:pPr>
                    <w:spacing w:line="288" w:lineRule="auto"/>
                    <w:jc w:val="center"/>
                    <w:rPr>
                      <w:rFonts w:ascii="Times New Roman" w:hAnsi="Times New Roman" w:cs="Times New Roman"/>
                      <w:sz w:val="21"/>
                      <w:szCs w:val="21"/>
                    </w:rPr>
                  </w:pPr>
                  <w:r>
                    <w:rPr>
                      <w:rFonts w:ascii="Times New Roman" w:cs="Times New Roman"/>
                      <w:sz w:val="21"/>
                      <w:szCs w:val="21"/>
                    </w:rPr>
                    <w:t>年平均值：</w:t>
                  </w:r>
                  <w:r>
                    <w:rPr>
                      <w:rFonts w:ascii="Times New Roman" w:hAnsi="Times New Roman" w:cs="Times New Roman"/>
                      <w:sz w:val="21"/>
                      <w:szCs w:val="21"/>
                    </w:rPr>
                    <w:t>70μg/m</w:t>
                  </w:r>
                  <w:r>
                    <w:rPr>
                      <w:rFonts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continue"/>
                  <w:vAlign w:val="center"/>
                </w:tcPr>
                <w:p>
                  <w:pPr>
                    <w:spacing w:line="288" w:lineRule="auto"/>
                    <w:jc w:val="center"/>
                    <w:rPr>
                      <w:rFonts w:ascii="Times New Roman" w:hAnsi="Times New Roman" w:cs="Times New Roman"/>
                      <w:sz w:val="21"/>
                      <w:szCs w:val="21"/>
                    </w:rPr>
                  </w:pPr>
                </w:p>
              </w:tc>
              <w:tc>
                <w:tcPr>
                  <w:tcW w:w="2082" w:type="dxa"/>
                  <w:gridSpan w:val="2"/>
                  <w:vMerge w:val="restart"/>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2581" w:type="dxa"/>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24</w:t>
                  </w:r>
                  <w:r>
                    <w:rPr>
                      <w:rFonts w:ascii="Times New Roman" w:cs="Times New Roman"/>
                      <w:sz w:val="21"/>
                      <w:szCs w:val="21"/>
                    </w:rPr>
                    <w:t>小时均值：</w:t>
                  </w:r>
                  <w:r>
                    <w:rPr>
                      <w:rFonts w:ascii="Times New Roman" w:hAnsi="Times New Roman" w:cs="Times New Roman"/>
                      <w:sz w:val="21"/>
                      <w:szCs w:val="21"/>
                    </w:rPr>
                    <w:t>75μg/m</w:t>
                  </w:r>
                  <w:r>
                    <w:rPr>
                      <w:rFonts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continue"/>
                  <w:vAlign w:val="center"/>
                </w:tcPr>
                <w:p>
                  <w:pPr>
                    <w:spacing w:line="288" w:lineRule="auto"/>
                    <w:jc w:val="center"/>
                    <w:rPr>
                      <w:rFonts w:ascii="Times New Roman" w:hAnsi="Times New Roman" w:cs="Times New Roman"/>
                      <w:sz w:val="21"/>
                      <w:szCs w:val="21"/>
                    </w:rPr>
                  </w:pPr>
                </w:p>
              </w:tc>
              <w:tc>
                <w:tcPr>
                  <w:tcW w:w="2082" w:type="dxa"/>
                  <w:gridSpan w:val="2"/>
                  <w:vMerge w:val="continue"/>
                  <w:vAlign w:val="center"/>
                </w:tcPr>
                <w:p>
                  <w:pPr>
                    <w:spacing w:line="288" w:lineRule="auto"/>
                    <w:jc w:val="center"/>
                    <w:rPr>
                      <w:rFonts w:ascii="Times New Roman" w:hAnsi="Times New Roman" w:cs="Times New Roman"/>
                      <w:sz w:val="21"/>
                      <w:szCs w:val="21"/>
                    </w:rPr>
                  </w:pPr>
                </w:p>
              </w:tc>
              <w:tc>
                <w:tcPr>
                  <w:tcW w:w="2581" w:type="dxa"/>
                  <w:vAlign w:val="center"/>
                </w:tcPr>
                <w:p>
                  <w:pPr>
                    <w:spacing w:line="288" w:lineRule="auto"/>
                    <w:jc w:val="center"/>
                    <w:rPr>
                      <w:rFonts w:ascii="Times New Roman" w:hAnsi="Times New Roman" w:cs="Times New Roman"/>
                      <w:sz w:val="21"/>
                      <w:szCs w:val="21"/>
                    </w:rPr>
                  </w:pPr>
                  <w:r>
                    <w:rPr>
                      <w:rFonts w:ascii="Times New Roman" w:cs="Times New Roman"/>
                      <w:sz w:val="21"/>
                      <w:szCs w:val="21"/>
                    </w:rPr>
                    <w:t>年平均值：</w:t>
                  </w:r>
                  <w:r>
                    <w:rPr>
                      <w:rFonts w:ascii="Times New Roman" w:hAnsi="Times New Roman" w:cs="Times New Roman"/>
                      <w:sz w:val="21"/>
                      <w:szCs w:val="21"/>
                    </w:rPr>
                    <w:t>35μg/m</w:t>
                  </w:r>
                  <w:r>
                    <w:rPr>
                      <w:rFonts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continue"/>
                  <w:vAlign w:val="center"/>
                </w:tcPr>
                <w:p>
                  <w:pPr>
                    <w:spacing w:line="288" w:lineRule="auto"/>
                    <w:jc w:val="center"/>
                    <w:rPr>
                      <w:rFonts w:ascii="Times New Roman" w:hAnsi="Times New Roman" w:cs="Times New Roman"/>
                      <w:sz w:val="21"/>
                      <w:szCs w:val="21"/>
                    </w:rPr>
                  </w:pPr>
                </w:p>
              </w:tc>
              <w:tc>
                <w:tcPr>
                  <w:tcW w:w="2082" w:type="dxa"/>
                  <w:gridSpan w:val="2"/>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CO</w:t>
                  </w:r>
                </w:p>
              </w:tc>
              <w:tc>
                <w:tcPr>
                  <w:tcW w:w="2581" w:type="dxa"/>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24</w:t>
                  </w:r>
                  <w:r>
                    <w:rPr>
                      <w:rFonts w:ascii="Times New Roman" w:cs="Times New Roman"/>
                      <w:sz w:val="21"/>
                      <w:szCs w:val="21"/>
                    </w:rPr>
                    <w:t>小时均值：</w:t>
                  </w:r>
                  <w:r>
                    <w:rPr>
                      <w:rFonts w:ascii="Times New Roman" w:hAnsi="Times New Roman" w:cs="Times New Roman"/>
                      <w:sz w:val="21"/>
                      <w:szCs w:val="21"/>
                    </w:rPr>
                    <w:t>4mg/m</w:t>
                  </w:r>
                  <w:r>
                    <w:rPr>
                      <w:rFonts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continue"/>
                  <w:vAlign w:val="center"/>
                </w:tcPr>
                <w:p>
                  <w:pPr>
                    <w:spacing w:line="288" w:lineRule="auto"/>
                    <w:jc w:val="center"/>
                    <w:rPr>
                      <w:rFonts w:ascii="Times New Roman" w:hAnsi="Times New Roman" w:cs="Times New Roman"/>
                      <w:sz w:val="21"/>
                      <w:szCs w:val="21"/>
                    </w:rPr>
                  </w:pPr>
                </w:p>
              </w:tc>
              <w:tc>
                <w:tcPr>
                  <w:tcW w:w="2082" w:type="dxa"/>
                  <w:gridSpan w:val="2"/>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O</w:t>
                  </w:r>
                  <w:r>
                    <w:rPr>
                      <w:rFonts w:ascii="Times New Roman" w:hAnsi="Times New Roman" w:cs="Times New Roman"/>
                      <w:sz w:val="21"/>
                      <w:szCs w:val="21"/>
                      <w:vertAlign w:val="subscript"/>
                    </w:rPr>
                    <w:t>3</w:t>
                  </w:r>
                </w:p>
              </w:tc>
              <w:tc>
                <w:tcPr>
                  <w:tcW w:w="2581" w:type="dxa"/>
                  <w:vAlign w:val="center"/>
                </w:tcPr>
                <w:p>
                  <w:pPr>
                    <w:spacing w:line="288" w:lineRule="auto"/>
                    <w:jc w:val="center"/>
                    <w:rPr>
                      <w:rFonts w:ascii="Times New Roman" w:hAnsi="Times New Roman" w:cs="Times New Roman"/>
                      <w:sz w:val="21"/>
                      <w:szCs w:val="21"/>
                    </w:rPr>
                  </w:pPr>
                  <w:r>
                    <w:rPr>
                      <w:rFonts w:ascii="Times New Roman" w:cs="Times New Roman"/>
                      <w:sz w:val="21"/>
                      <w:szCs w:val="21"/>
                    </w:rPr>
                    <w:t>日最大</w:t>
                  </w:r>
                  <w:r>
                    <w:rPr>
                      <w:rFonts w:ascii="Times New Roman" w:hAnsi="Times New Roman" w:cs="Times New Roman"/>
                      <w:sz w:val="21"/>
                      <w:szCs w:val="21"/>
                    </w:rPr>
                    <w:t>8</w:t>
                  </w:r>
                  <w:r>
                    <w:rPr>
                      <w:rFonts w:ascii="Times New Roman" w:cs="Times New Roman"/>
                      <w:sz w:val="21"/>
                      <w:szCs w:val="21"/>
                    </w:rPr>
                    <w:t>小时平均：</w:t>
                  </w:r>
                  <w:r>
                    <w:rPr>
                      <w:rFonts w:ascii="Times New Roman" w:hAnsi="Times New Roman" w:cs="Times New Roman"/>
                      <w:sz w:val="21"/>
                      <w:szCs w:val="21"/>
                    </w:rPr>
                    <w:t>160μg/m</w:t>
                  </w:r>
                  <w:r>
                    <w:rPr>
                      <w:rFonts w:ascii="Times New Roman" w:hAnsi="Times New Roman" w:cs="Times New Roman"/>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restart"/>
                  <w:vAlign w:val="center"/>
                </w:tcPr>
                <w:p>
                  <w:pPr>
                    <w:spacing w:line="288" w:lineRule="auto"/>
                    <w:jc w:val="center"/>
                    <w:rPr>
                      <w:rFonts w:ascii="Times New Roman" w:hAnsi="Times New Roman" w:cs="Times New Roman"/>
                      <w:sz w:val="21"/>
                      <w:szCs w:val="21"/>
                    </w:rPr>
                  </w:pPr>
                  <w:r>
                    <w:rPr>
                      <w:rFonts w:ascii="Times New Roman" w:cs="Times New Roman"/>
                      <w:sz w:val="21"/>
                      <w:szCs w:val="21"/>
                    </w:rPr>
                    <w:t>《声环境质量标准》</w:t>
                  </w:r>
                </w:p>
                <w:p>
                  <w:pPr>
                    <w:spacing w:line="288" w:lineRule="auto"/>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rPr>
                    <w:t>GB3096-2008</w:t>
                  </w:r>
                  <w:r>
                    <w:rPr>
                      <w:rFonts w:ascii="Times New Roman" w:cs="Times New Roman"/>
                      <w:sz w:val="21"/>
                      <w:szCs w:val="21"/>
                    </w:rPr>
                    <w:t>）</w:t>
                  </w:r>
                </w:p>
              </w:tc>
              <w:tc>
                <w:tcPr>
                  <w:tcW w:w="1076" w:type="dxa"/>
                  <w:vMerge w:val="restart"/>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3类</w:t>
                  </w:r>
                </w:p>
              </w:tc>
              <w:tc>
                <w:tcPr>
                  <w:tcW w:w="1006" w:type="dxa"/>
                  <w:vAlign w:val="center"/>
                </w:tcPr>
                <w:p>
                  <w:pPr>
                    <w:spacing w:line="288" w:lineRule="auto"/>
                    <w:jc w:val="center"/>
                    <w:rPr>
                      <w:rFonts w:ascii="Times New Roman" w:hAnsi="Times New Roman" w:cs="Times New Roman"/>
                      <w:sz w:val="21"/>
                      <w:szCs w:val="21"/>
                    </w:rPr>
                  </w:pPr>
                  <w:r>
                    <w:rPr>
                      <w:rFonts w:ascii="Times New Roman" w:cs="Times New Roman"/>
                      <w:sz w:val="21"/>
                      <w:szCs w:val="21"/>
                    </w:rPr>
                    <w:t>昼间</w:t>
                  </w:r>
                </w:p>
              </w:tc>
              <w:tc>
                <w:tcPr>
                  <w:tcW w:w="2581" w:type="dxa"/>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65dB</w:t>
                  </w:r>
                  <w:r>
                    <w:rPr>
                      <w:rFonts w:ascii="Times New Roman" w:hAnsi="Times New Roman" w:cs="Times New Roman"/>
                      <w:sz w:val="21"/>
                      <w:szCs w:val="21"/>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90" w:type="dxa"/>
                  <w:vMerge w:val="continue"/>
                  <w:vAlign w:val="center"/>
                </w:tcPr>
                <w:p>
                  <w:pPr>
                    <w:spacing w:line="288" w:lineRule="auto"/>
                    <w:jc w:val="center"/>
                    <w:rPr>
                      <w:rFonts w:ascii="Times New Roman" w:hAnsi="Times New Roman" w:cs="Times New Roman"/>
                      <w:sz w:val="21"/>
                      <w:szCs w:val="21"/>
                    </w:rPr>
                  </w:pPr>
                </w:p>
              </w:tc>
              <w:tc>
                <w:tcPr>
                  <w:tcW w:w="1076" w:type="dxa"/>
                  <w:vMerge w:val="continue"/>
                  <w:vAlign w:val="center"/>
                </w:tcPr>
                <w:p>
                  <w:pPr>
                    <w:spacing w:line="288" w:lineRule="auto"/>
                    <w:jc w:val="center"/>
                    <w:rPr>
                      <w:rFonts w:ascii="Times New Roman" w:hAnsi="Times New Roman" w:cs="Times New Roman"/>
                      <w:sz w:val="21"/>
                      <w:szCs w:val="21"/>
                    </w:rPr>
                  </w:pPr>
                </w:p>
              </w:tc>
              <w:tc>
                <w:tcPr>
                  <w:tcW w:w="1006" w:type="dxa"/>
                  <w:vAlign w:val="center"/>
                </w:tcPr>
                <w:p>
                  <w:pPr>
                    <w:spacing w:line="288" w:lineRule="auto"/>
                    <w:jc w:val="center"/>
                    <w:rPr>
                      <w:rFonts w:ascii="Times New Roman" w:hAnsi="Times New Roman" w:cs="Times New Roman"/>
                      <w:sz w:val="21"/>
                      <w:szCs w:val="21"/>
                    </w:rPr>
                  </w:pPr>
                  <w:r>
                    <w:rPr>
                      <w:rFonts w:ascii="Times New Roman" w:cs="Times New Roman"/>
                      <w:sz w:val="21"/>
                      <w:szCs w:val="21"/>
                    </w:rPr>
                    <w:t>夜间</w:t>
                  </w:r>
                </w:p>
              </w:tc>
              <w:tc>
                <w:tcPr>
                  <w:tcW w:w="2581" w:type="dxa"/>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55dB</w:t>
                  </w:r>
                  <w:r>
                    <w:rPr>
                      <w:rFonts w:ascii="Times New Roman" w:hAnsi="Times New Roman" w:cs="Times New Roman"/>
                      <w:sz w:val="21"/>
                      <w:szCs w:val="21"/>
                    </w:rPr>
                    <w:t>(A)</w:t>
                  </w:r>
                </w:p>
              </w:tc>
            </w:tr>
          </w:tbl>
          <w:p>
            <w:pPr>
              <w:tabs>
                <w:tab w:val="left" w:pos="8844"/>
              </w:tabs>
              <w:spacing w:line="288" w:lineRule="auto"/>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污染物排放标准</w:t>
            </w:r>
          </w:p>
        </w:tc>
        <w:tc>
          <w:tcPr>
            <w:tcW w:w="8353" w:type="dxa"/>
            <w:vAlign w:val="center"/>
          </w:tcPr>
          <w:tbl>
            <w:tblPr>
              <w:tblStyle w:val="28"/>
              <w:tblW w:w="815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809"/>
              <w:gridCol w:w="1736"/>
              <w:gridCol w:w="533"/>
              <w:gridCol w:w="1146"/>
              <w:gridCol w:w="1186"/>
              <w:gridCol w:w="10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restart"/>
                  <w:tcBorders>
                    <w:tl2br w:val="nil"/>
                    <w:tr2bl w:val="nil"/>
                  </w:tcBorders>
                  <w:vAlign w:val="center"/>
                </w:tcPr>
                <w:p>
                  <w:pPr>
                    <w:spacing w:line="288" w:lineRule="auto"/>
                    <w:ind w:left="-1" w:leftChars="-31" w:right="-126" w:rightChars="-45" w:hanging="86" w:hangingChars="41"/>
                    <w:jc w:val="center"/>
                    <w:rPr>
                      <w:rFonts w:ascii="Times New Roman" w:hAnsi="Times New Roman" w:cs="Times New Roman"/>
                      <w:sz w:val="21"/>
                      <w:szCs w:val="21"/>
                    </w:rPr>
                  </w:pPr>
                  <w:r>
                    <w:rPr>
                      <w:rFonts w:ascii="Times New Roman" w:cs="Times New Roman"/>
                      <w:sz w:val="21"/>
                      <w:szCs w:val="21"/>
                    </w:rPr>
                    <w:t>污染物</w:t>
                  </w:r>
                </w:p>
              </w:tc>
              <w:tc>
                <w:tcPr>
                  <w:tcW w:w="3545" w:type="dxa"/>
                  <w:gridSpan w:val="2"/>
                  <w:vMerge w:val="restart"/>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标准名称及级（类）别</w:t>
                  </w:r>
                </w:p>
              </w:tc>
              <w:tc>
                <w:tcPr>
                  <w:tcW w:w="1679" w:type="dxa"/>
                  <w:gridSpan w:val="2"/>
                  <w:vMerge w:val="restart"/>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污染因子</w:t>
                  </w:r>
                </w:p>
              </w:tc>
              <w:tc>
                <w:tcPr>
                  <w:tcW w:w="2279" w:type="dxa"/>
                  <w:gridSpan w:val="2"/>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3545" w:type="dxa"/>
                  <w:gridSpan w:val="2"/>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1679" w:type="dxa"/>
                  <w:gridSpan w:val="2"/>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1186" w:type="dxa"/>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单位</w:t>
                  </w:r>
                </w:p>
              </w:tc>
              <w:tc>
                <w:tcPr>
                  <w:tcW w:w="1093" w:type="dxa"/>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数值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restart"/>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废气</w:t>
                  </w:r>
                </w:p>
              </w:tc>
              <w:tc>
                <w:tcPr>
                  <w:tcW w:w="1809" w:type="dxa"/>
                  <w:vMerge w:val="restart"/>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bCs/>
                      <w:sz w:val="21"/>
                      <w:szCs w:val="21"/>
                    </w:rPr>
                    <w:t>《大气污染物综合排放标准》</w:t>
                  </w:r>
                  <w:r>
                    <w:rPr>
                      <w:rFonts w:ascii="Times New Roman" w:hAnsi="Times New Roman" w:cs="Times New Roman"/>
                      <w:bCs/>
                      <w:sz w:val="21"/>
                      <w:szCs w:val="21"/>
                    </w:rPr>
                    <w:t>(GB16297-1996)</w:t>
                  </w:r>
                  <w:r>
                    <w:rPr>
                      <w:rFonts w:ascii="Times New Roman" w:cs="Times New Roman"/>
                      <w:bCs/>
                      <w:sz w:val="21"/>
                      <w:szCs w:val="21"/>
                    </w:rPr>
                    <w:t>表</w:t>
                  </w:r>
                  <w:r>
                    <w:rPr>
                      <w:rFonts w:ascii="Times New Roman" w:hAnsi="Times New Roman" w:cs="Times New Roman"/>
                      <w:bCs/>
                      <w:sz w:val="21"/>
                      <w:szCs w:val="21"/>
                    </w:rPr>
                    <w:t>2</w:t>
                  </w:r>
                  <w:r>
                    <w:rPr>
                      <w:rFonts w:ascii="Times New Roman" w:cs="Times New Roman"/>
                      <w:bCs/>
                      <w:sz w:val="21"/>
                      <w:szCs w:val="21"/>
                    </w:rPr>
                    <w:t>二级</w:t>
                  </w:r>
                </w:p>
              </w:tc>
              <w:tc>
                <w:tcPr>
                  <w:tcW w:w="1736"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cs="Times New Roman"/>
                      <w:bCs/>
                      <w:sz w:val="21"/>
                      <w:szCs w:val="21"/>
                    </w:rPr>
                    <w:t>排放浓度</w:t>
                  </w:r>
                </w:p>
              </w:tc>
              <w:tc>
                <w:tcPr>
                  <w:tcW w:w="1679" w:type="dxa"/>
                  <w:gridSpan w:val="2"/>
                  <w:vMerge w:val="restart"/>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cs="Times New Roman"/>
                      <w:bCs/>
                      <w:sz w:val="21"/>
                      <w:szCs w:val="21"/>
                    </w:rPr>
                    <w:t>颗粒物</w:t>
                  </w:r>
                </w:p>
              </w:tc>
              <w:tc>
                <w:tcPr>
                  <w:tcW w:w="1186"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mg/m</w:t>
                  </w:r>
                  <w:r>
                    <w:rPr>
                      <w:rFonts w:ascii="Times New Roman" w:hAnsi="Times New Roman" w:cs="Times New Roman"/>
                      <w:bCs/>
                      <w:sz w:val="21"/>
                      <w:szCs w:val="21"/>
                      <w:vertAlign w:val="superscript"/>
                    </w:rPr>
                    <w:t>3</w:t>
                  </w:r>
                </w:p>
              </w:tc>
              <w:tc>
                <w:tcPr>
                  <w:tcW w:w="1093"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120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1809" w:type="dxa"/>
                  <w:vMerge w:val="continue"/>
                  <w:tcBorders>
                    <w:tl2br w:val="nil"/>
                    <w:tr2bl w:val="nil"/>
                  </w:tcBorders>
                  <w:vAlign w:val="center"/>
                </w:tcPr>
                <w:p>
                  <w:pPr>
                    <w:spacing w:line="288" w:lineRule="auto"/>
                    <w:ind w:left="-31"/>
                    <w:jc w:val="center"/>
                    <w:rPr>
                      <w:rFonts w:ascii="Times New Roman" w:hAnsi="Times New Roman" w:cs="Times New Roman"/>
                      <w:bCs/>
                      <w:sz w:val="21"/>
                      <w:szCs w:val="21"/>
                    </w:rPr>
                  </w:pPr>
                </w:p>
              </w:tc>
              <w:tc>
                <w:tcPr>
                  <w:tcW w:w="1736"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cs="Times New Roman"/>
                      <w:bCs/>
                      <w:sz w:val="21"/>
                      <w:szCs w:val="21"/>
                    </w:rPr>
                    <w:t>排放速率（</w:t>
                  </w:r>
                  <w:r>
                    <w:rPr>
                      <w:rFonts w:ascii="Times New Roman" w:hAnsi="Times New Roman" w:cs="Times New Roman"/>
                      <w:bCs/>
                      <w:sz w:val="21"/>
                      <w:szCs w:val="21"/>
                    </w:rPr>
                    <w:t>15m</w:t>
                  </w:r>
                  <w:r>
                    <w:rPr>
                      <w:rFonts w:hint="eastAsia" w:ascii="Times New Roman" w:hAnsi="Times New Roman" w:cs="Times New Roman"/>
                      <w:bCs/>
                      <w:sz w:val="21"/>
                      <w:szCs w:val="21"/>
                    </w:rPr>
                    <w:t>高排气筒</w:t>
                  </w:r>
                  <w:r>
                    <w:rPr>
                      <w:rFonts w:ascii="Times New Roman" w:cs="Times New Roman"/>
                      <w:bCs/>
                      <w:sz w:val="21"/>
                      <w:szCs w:val="21"/>
                    </w:rPr>
                    <w:t>）</w:t>
                  </w:r>
                </w:p>
              </w:tc>
              <w:tc>
                <w:tcPr>
                  <w:tcW w:w="1679" w:type="dxa"/>
                  <w:gridSpan w:val="2"/>
                  <w:vMerge w:val="continue"/>
                  <w:tcBorders>
                    <w:tl2br w:val="nil"/>
                    <w:tr2bl w:val="nil"/>
                  </w:tcBorders>
                  <w:vAlign w:val="center"/>
                </w:tcPr>
                <w:p>
                  <w:pPr>
                    <w:spacing w:line="288" w:lineRule="auto"/>
                    <w:ind w:left="-31"/>
                    <w:jc w:val="center"/>
                    <w:rPr>
                      <w:rFonts w:ascii="Times New Roman" w:hAnsi="Times New Roman" w:cs="Times New Roman"/>
                      <w:bCs/>
                      <w:sz w:val="21"/>
                      <w:szCs w:val="21"/>
                    </w:rPr>
                  </w:pPr>
                </w:p>
              </w:tc>
              <w:tc>
                <w:tcPr>
                  <w:tcW w:w="1186"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kg/h</w:t>
                  </w:r>
                </w:p>
              </w:tc>
              <w:tc>
                <w:tcPr>
                  <w:tcW w:w="1093"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Borders>
                    <w:tl2br w:val="nil"/>
                    <w:tr2bl w:val="nil"/>
                  </w:tcBorders>
                  <w:vAlign w:val="center"/>
                </w:tcPr>
                <w:p>
                  <w:pPr>
                    <w:spacing w:line="288" w:lineRule="auto"/>
                    <w:ind w:left="-31"/>
                    <w:jc w:val="center"/>
                    <w:rPr>
                      <w:rFonts w:ascii="Times New Roman" w:cs="Times New Roman"/>
                      <w:sz w:val="21"/>
                      <w:szCs w:val="21"/>
                    </w:rPr>
                  </w:pPr>
                </w:p>
              </w:tc>
              <w:tc>
                <w:tcPr>
                  <w:tcW w:w="3545" w:type="dxa"/>
                  <w:gridSpan w:val="2"/>
                  <w:tcBorders>
                    <w:tl2br w:val="nil"/>
                    <w:tr2bl w:val="nil"/>
                  </w:tcBorders>
                  <w:vAlign w:val="center"/>
                </w:tcPr>
                <w:p>
                  <w:pPr>
                    <w:spacing w:line="288" w:lineRule="auto"/>
                    <w:ind w:left="-31"/>
                    <w:jc w:val="center"/>
                    <w:rPr>
                      <w:rFonts w:ascii="Times New Roman" w:hAnsi="Times New Roman" w:cs="Times New Roman"/>
                      <w:sz w:val="21"/>
                      <w:szCs w:val="21"/>
                    </w:rPr>
                  </w:pPr>
                  <w:r>
                    <w:rPr>
                      <w:rFonts w:hint="eastAsia" w:ascii="Times New Roman" w:hAnsi="Times New Roman" w:cs="Times New Roman"/>
                      <w:sz w:val="21"/>
                      <w:szCs w:val="21"/>
                    </w:rPr>
                    <w:t>《河南省餐饮业油烟污染物排放标准》（DB41/1604-2018）</w:t>
                  </w:r>
                </w:p>
              </w:tc>
              <w:tc>
                <w:tcPr>
                  <w:tcW w:w="1679" w:type="dxa"/>
                  <w:gridSpan w:val="2"/>
                  <w:tcBorders>
                    <w:tl2br w:val="nil"/>
                    <w:tr2bl w:val="nil"/>
                  </w:tcBorders>
                  <w:vAlign w:val="center"/>
                </w:tcPr>
                <w:p>
                  <w:pPr>
                    <w:spacing w:line="288" w:lineRule="auto"/>
                    <w:ind w:left="-31"/>
                    <w:jc w:val="center"/>
                    <w:rPr>
                      <w:rFonts w:ascii="Times New Roman" w:hAnsi="Times New Roman" w:cs="Times New Roman"/>
                      <w:bCs/>
                      <w:sz w:val="21"/>
                      <w:szCs w:val="21"/>
                    </w:rPr>
                  </w:pPr>
                  <w:r>
                    <w:rPr>
                      <w:rFonts w:hint="eastAsia" w:ascii="Times New Roman" w:hAnsi="Times New Roman" w:cs="Times New Roman"/>
                      <w:bCs/>
                      <w:sz w:val="21"/>
                      <w:szCs w:val="21"/>
                    </w:rPr>
                    <w:t>食堂油烟</w:t>
                  </w:r>
                </w:p>
              </w:tc>
              <w:tc>
                <w:tcPr>
                  <w:tcW w:w="1186"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mg/m</w:t>
                  </w:r>
                  <w:r>
                    <w:rPr>
                      <w:rFonts w:ascii="Times New Roman" w:hAnsi="Times New Roman" w:cs="Times New Roman"/>
                      <w:bCs/>
                      <w:sz w:val="21"/>
                      <w:szCs w:val="21"/>
                      <w:vertAlign w:val="superscript"/>
                    </w:rPr>
                    <w:t>3</w:t>
                  </w:r>
                </w:p>
              </w:tc>
              <w:tc>
                <w:tcPr>
                  <w:tcW w:w="1093" w:type="dxa"/>
                  <w:tcBorders>
                    <w:tl2br w:val="nil"/>
                    <w:tr2bl w:val="nil"/>
                  </w:tcBorders>
                  <w:vAlign w:val="center"/>
                </w:tcPr>
                <w:p>
                  <w:pPr>
                    <w:spacing w:line="288" w:lineRule="auto"/>
                    <w:jc w:val="center"/>
                    <w:rPr>
                      <w:rFonts w:ascii="Times New Roman" w:hAnsi="Times New Roman" w:cs="Times New Roman"/>
                      <w:bCs/>
                      <w:sz w:val="21"/>
                      <w:szCs w:val="21"/>
                    </w:rPr>
                  </w:pPr>
                  <w:r>
                    <w:rPr>
                      <w:rFonts w:hint="eastAsia" w:ascii="Times New Roman" w:hAnsi="Times New Roman" w:cs="Times New Roman"/>
                      <w:bCs/>
                      <w:sz w:val="21"/>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restart"/>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废水</w:t>
                  </w:r>
                </w:p>
              </w:tc>
              <w:tc>
                <w:tcPr>
                  <w:tcW w:w="3545" w:type="dxa"/>
                  <w:gridSpan w:val="2"/>
                  <w:vMerge w:val="restart"/>
                  <w:tcBorders>
                    <w:tl2br w:val="nil"/>
                    <w:tr2bl w:val="nil"/>
                  </w:tcBorders>
                  <w:vAlign w:val="center"/>
                </w:tcPr>
                <w:p>
                  <w:pPr>
                    <w:spacing w:line="288" w:lineRule="auto"/>
                    <w:ind w:left="-31"/>
                    <w:jc w:val="center"/>
                    <w:rPr>
                      <w:rFonts w:ascii="Times New Roman" w:hAnsi="Times New Roman" w:cs="Times New Roman"/>
                      <w:sz w:val="21"/>
                      <w:szCs w:val="21"/>
                    </w:rPr>
                  </w:pPr>
                  <w:r>
                    <w:rPr>
                      <w:rFonts w:hint="eastAsia" w:ascii="Times New Roman" w:hAnsi="Times New Roman" w:cs="Times New Roman"/>
                      <w:sz w:val="21"/>
                      <w:szCs w:val="21"/>
                    </w:rPr>
                    <w:t>小店</w:t>
                  </w:r>
                  <w:r>
                    <w:rPr>
                      <w:rFonts w:ascii="Times New Roman" w:hAnsi="Times New Roman" w:cs="Times New Roman"/>
                      <w:sz w:val="21"/>
                      <w:szCs w:val="21"/>
                    </w:rPr>
                    <w:t>污水处理厂</w:t>
                  </w:r>
                  <w:r>
                    <w:rPr>
                      <w:rFonts w:hint="eastAsia" w:ascii="Times New Roman" w:hAnsi="Times New Roman" w:cs="Times New Roman"/>
                      <w:sz w:val="21"/>
                      <w:szCs w:val="21"/>
                    </w:rPr>
                    <w:t>二期</w:t>
                  </w:r>
                  <w:r>
                    <w:rPr>
                      <w:rFonts w:ascii="Times New Roman" w:hAnsi="Times New Roman" w:cs="Times New Roman"/>
                      <w:sz w:val="21"/>
                      <w:szCs w:val="21"/>
                    </w:rPr>
                    <w:t>收水水质标准</w:t>
                  </w:r>
                </w:p>
              </w:tc>
              <w:tc>
                <w:tcPr>
                  <w:tcW w:w="1679" w:type="dxa"/>
                  <w:gridSpan w:val="2"/>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COD</w:t>
                  </w:r>
                </w:p>
              </w:tc>
              <w:tc>
                <w:tcPr>
                  <w:tcW w:w="1186"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mg/L</w:t>
                  </w:r>
                </w:p>
              </w:tc>
              <w:tc>
                <w:tcPr>
                  <w:tcW w:w="1093" w:type="dxa"/>
                  <w:tcBorders>
                    <w:tl2br w:val="nil"/>
                    <w:tr2bl w:val="nil"/>
                  </w:tcBorders>
                  <w:vAlign w:val="center"/>
                </w:tcPr>
                <w:p>
                  <w:pPr>
                    <w:spacing w:line="288" w:lineRule="auto"/>
                    <w:jc w:val="center"/>
                    <w:rPr>
                      <w:rFonts w:ascii="Times New Roman" w:hAnsi="Times New Roman" w:cs="Times New Roman"/>
                      <w:bCs/>
                      <w:sz w:val="21"/>
                      <w:szCs w:val="21"/>
                    </w:rPr>
                  </w:pPr>
                  <w:r>
                    <w:rPr>
                      <w:rFonts w:ascii="Times New Roman" w:hAnsi="Times New Roman" w:cs="Times New Roman"/>
                      <w:bCs/>
                      <w:sz w:val="21"/>
                      <w:szCs w:val="21"/>
                    </w:rPr>
                    <w:t>350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3545" w:type="dxa"/>
                  <w:gridSpan w:val="2"/>
                  <w:vMerge w:val="continue"/>
                  <w:tcBorders>
                    <w:tl2br w:val="nil"/>
                    <w:tr2bl w:val="nil"/>
                  </w:tcBorders>
                  <w:vAlign w:val="center"/>
                </w:tcPr>
                <w:p>
                  <w:pPr>
                    <w:spacing w:line="288" w:lineRule="auto"/>
                    <w:ind w:left="-31"/>
                    <w:jc w:val="center"/>
                    <w:rPr>
                      <w:rFonts w:ascii="Times New Roman" w:hAnsi="Times New Roman" w:cs="Times New Roman"/>
                      <w:bCs/>
                      <w:sz w:val="21"/>
                      <w:szCs w:val="21"/>
                    </w:rPr>
                  </w:pPr>
                </w:p>
              </w:tc>
              <w:tc>
                <w:tcPr>
                  <w:tcW w:w="1679" w:type="dxa"/>
                  <w:gridSpan w:val="2"/>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SS</w:t>
                  </w:r>
                </w:p>
              </w:tc>
              <w:tc>
                <w:tcPr>
                  <w:tcW w:w="1186"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mg/L</w:t>
                  </w:r>
                </w:p>
              </w:tc>
              <w:tc>
                <w:tcPr>
                  <w:tcW w:w="1093" w:type="dxa"/>
                  <w:tcBorders>
                    <w:tl2br w:val="nil"/>
                    <w:tr2bl w:val="nil"/>
                  </w:tcBorders>
                  <w:vAlign w:val="center"/>
                </w:tcPr>
                <w:p>
                  <w:pPr>
                    <w:spacing w:line="288" w:lineRule="auto"/>
                    <w:jc w:val="center"/>
                    <w:rPr>
                      <w:rFonts w:ascii="Times New Roman" w:hAnsi="Times New Roman" w:cs="Times New Roman"/>
                      <w:bCs/>
                      <w:sz w:val="21"/>
                      <w:szCs w:val="21"/>
                    </w:rPr>
                  </w:pPr>
                  <w:r>
                    <w:rPr>
                      <w:rFonts w:hint="eastAsia" w:ascii="Times New Roman" w:hAnsi="Times New Roman" w:cs="Times New Roman"/>
                      <w:bCs/>
                      <w:sz w:val="21"/>
                      <w:szCs w:val="21"/>
                    </w:rPr>
                    <w:t>280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3545" w:type="dxa"/>
                  <w:gridSpan w:val="2"/>
                  <w:vMerge w:val="continue"/>
                  <w:tcBorders>
                    <w:tl2br w:val="nil"/>
                    <w:tr2bl w:val="nil"/>
                  </w:tcBorders>
                  <w:vAlign w:val="center"/>
                </w:tcPr>
                <w:p>
                  <w:pPr>
                    <w:spacing w:line="288" w:lineRule="auto"/>
                    <w:ind w:left="-31"/>
                    <w:jc w:val="center"/>
                    <w:rPr>
                      <w:rFonts w:ascii="Times New Roman" w:hAnsi="Times New Roman" w:cs="Times New Roman"/>
                      <w:bCs/>
                      <w:sz w:val="21"/>
                      <w:szCs w:val="21"/>
                    </w:rPr>
                  </w:pPr>
                </w:p>
              </w:tc>
              <w:tc>
                <w:tcPr>
                  <w:tcW w:w="1679" w:type="dxa"/>
                  <w:gridSpan w:val="2"/>
                  <w:tcBorders>
                    <w:tl2br w:val="nil"/>
                    <w:tr2bl w:val="nil"/>
                  </w:tcBorders>
                  <w:vAlign w:val="center"/>
                </w:tcPr>
                <w:p>
                  <w:pPr>
                    <w:spacing w:line="288" w:lineRule="auto"/>
                    <w:ind w:left="-31"/>
                    <w:jc w:val="center"/>
                    <w:rPr>
                      <w:rFonts w:ascii="Times New Roman" w:hAnsi="Times New Roman" w:cs="Times New Roman"/>
                      <w:bCs/>
                      <w:sz w:val="21"/>
                      <w:szCs w:val="21"/>
                    </w:rPr>
                  </w:pPr>
                  <w:r>
                    <w:rPr>
                      <w:rFonts w:hint="eastAsia" w:ascii="Times New Roman" w:hAnsi="Times New Roman" w:cs="Times New Roman"/>
                      <w:bCs/>
                      <w:sz w:val="21"/>
                      <w:szCs w:val="21"/>
                    </w:rPr>
                    <w:t>氨氮</w:t>
                  </w:r>
                </w:p>
              </w:tc>
              <w:tc>
                <w:tcPr>
                  <w:tcW w:w="1186"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mg/L</w:t>
                  </w:r>
                </w:p>
              </w:tc>
              <w:tc>
                <w:tcPr>
                  <w:tcW w:w="1093" w:type="dxa"/>
                  <w:tcBorders>
                    <w:tl2br w:val="nil"/>
                    <w:tr2bl w:val="nil"/>
                  </w:tcBorders>
                  <w:vAlign w:val="center"/>
                </w:tcPr>
                <w:p>
                  <w:pPr>
                    <w:spacing w:line="288" w:lineRule="auto"/>
                    <w:jc w:val="center"/>
                    <w:rPr>
                      <w:rFonts w:ascii="Times New Roman" w:hAnsi="Times New Roman" w:cs="Times New Roman"/>
                      <w:bCs/>
                      <w:sz w:val="21"/>
                      <w:szCs w:val="21"/>
                    </w:rPr>
                  </w:pPr>
                  <w:r>
                    <w:rPr>
                      <w:rFonts w:hint="eastAsia" w:ascii="Times New Roman" w:hAnsi="Times New Roman" w:cs="Times New Roman"/>
                      <w:bCs/>
                      <w:sz w:val="21"/>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3545" w:type="dxa"/>
                  <w:gridSpan w:val="2"/>
                  <w:vMerge w:val="continue"/>
                  <w:tcBorders>
                    <w:tl2br w:val="nil"/>
                    <w:tr2bl w:val="nil"/>
                  </w:tcBorders>
                  <w:vAlign w:val="center"/>
                </w:tcPr>
                <w:p>
                  <w:pPr>
                    <w:spacing w:line="288" w:lineRule="auto"/>
                    <w:ind w:left="-31"/>
                    <w:jc w:val="center"/>
                    <w:rPr>
                      <w:rFonts w:ascii="Times New Roman" w:hAnsi="Times New Roman" w:cs="Times New Roman"/>
                      <w:bCs/>
                      <w:sz w:val="21"/>
                      <w:szCs w:val="21"/>
                    </w:rPr>
                  </w:pPr>
                </w:p>
              </w:tc>
              <w:tc>
                <w:tcPr>
                  <w:tcW w:w="1679" w:type="dxa"/>
                  <w:gridSpan w:val="2"/>
                  <w:tcBorders>
                    <w:tl2br w:val="nil"/>
                    <w:tr2bl w:val="nil"/>
                  </w:tcBorders>
                  <w:vAlign w:val="center"/>
                </w:tcPr>
                <w:p>
                  <w:pPr>
                    <w:spacing w:line="288" w:lineRule="auto"/>
                    <w:ind w:left="-31"/>
                    <w:jc w:val="center"/>
                    <w:rPr>
                      <w:rFonts w:ascii="Times New Roman" w:hAnsi="Times New Roman" w:cs="Times New Roman"/>
                      <w:bCs/>
                      <w:sz w:val="21"/>
                      <w:szCs w:val="21"/>
                    </w:rPr>
                  </w:pPr>
                  <w:r>
                    <w:rPr>
                      <w:rFonts w:hint="eastAsia" w:ascii="Times New Roman" w:cs="Times New Roman"/>
                      <w:bCs/>
                      <w:sz w:val="21"/>
                      <w:szCs w:val="21"/>
                    </w:rPr>
                    <w:t>TP</w:t>
                  </w:r>
                </w:p>
              </w:tc>
              <w:tc>
                <w:tcPr>
                  <w:tcW w:w="1186" w:type="dxa"/>
                  <w:tcBorders>
                    <w:tl2br w:val="nil"/>
                    <w:tr2bl w:val="nil"/>
                  </w:tcBorders>
                  <w:vAlign w:val="center"/>
                </w:tcPr>
                <w:p>
                  <w:pPr>
                    <w:spacing w:line="288" w:lineRule="auto"/>
                    <w:ind w:left="-31"/>
                    <w:jc w:val="center"/>
                    <w:rPr>
                      <w:rFonts w:ascii="Times New Roman" w:hAnsi="Times New Roman" w:cs="Times New Roman"/>
                      <w:bCs/>
                      <w:sz w:val="21"/>
                      <w:szCs w:val="21"/>
                    </w:rPr>
                  </w:pPr>
                  <w:r>
                    <w:rPr>
                      <w:rFonts w:ascii="Times New Roman" w:hAnsi="Times New Roman" w:cs="Times New Roman"/>
                      <w:bCs/>
                      <w:sz w:val="21"/>
                      <w:szCs w:val="21"/>
                    </w:rPr>
                    <w:t>mg/L</w:t>
                  </w:r>
                </w:p>
              </w:tc>
              <w:tc>
                <w:tcPr>
                  <w:tcW w:w="1093" w:type="dxa"/>
                  <w:tcBorders>
                    <w:tl2br w:val="nil"/>
                    <w:tr2bl w:val="nil"/>
                  </w:tcBorders>
                  <w:vAlign w:val="center"/>
                </w:tcPr>
                <w:p>
                  <w:pPr>
                    <w:spacing w:line="288" w:lineRule="auto"/>
                    <w:jc w:val="center"/>
                    <w:rPr>
                      <w:rFonts w:ascii="Times New Roman" w:hAnsi="Times New Roman" w:cs="Times New Roman"/>
                      <w:bCs/>
                      <w:sz w:val="21"/>
                      <w:szCs w:val="21"/>
                    </w:rPr>
                  </w:pPr>
                  <w:r>
                    <w:rPr>
                      <w:rFonts w:hint="eastAsia" w:ascii="Times New Roman" w:hAnsi="Times New Roman" w:cs="Times New Roman"/>
                      <w:bCs/>
                      <w:sz w:val="21"/>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restart"/>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噪声</w:t>
                  </w:r>
                </w:p>
              </w:tc>
              <w:tc>
                <w:tcPr>
                  <w:tcW w:w="3545" w:type="dxa"/>
                  <w:gridSpan w:val="2"/>
                  <w:vMerge w:val="restart"/>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《工业企业厂界环境噪声排放标准》</w:t>
                  </w:r>
                </w:p>
                <w:p>
                  <w:pPr>
                    <w:spacing w:line="288" w:lineRule="auto"/>
                    <w:ind w:left="-31"/>
                    <w:jc w:val="center"/>
                    <w:rPr>
                      <w:rFonts w:ascii="Times New Roman" w:hAnsi="Times New Roman" w:cs="Times New Roman"/>
                      <w:sz w:val="21"/>
                      <w:szCs w:val="21"/>
                    </w:rPr>
                  </w:pPr>
                  <w:r>
                    <w:rPr>
                      <w:rFonts w:ascii="Times New Roman" w:cs="Times New Roman"/>
                      <w:sz w:val="21"/>
                      <w:szCs w:val="21"/>
                    </w:rPr>
                    <w:t>（</w:t>
                  </w:r>
                  <w:r>
                    <w:rPr>
                      <w:rFonts w:ascii="Times New Roman" w:hAnsi="Times New Roman" w:cs="Times New Roman"/>
                      <w:sz w:val="21"/>
                      <w:szCs w:val="21"/>
                    </w:rPr>
                    <w:t>GB12348-2008</w:t>
                  </w:r>
                  <w:r>
                    <w:rPr>
                      <w:rFonts w:ascii="Times New Roman" w:cs="Times New Roman"/>
                      <w:sz w:val="21"/>
                      <w:szCs w:val="21"/>
                    </w:rPr>
                    <w:t>）</w:t>
                  </w:r>
                  <w:r>
                    <w:rPr>
                      <w:rFonts w:hint="eastAsia" w:ascii="Times New Roman" w:hAnsi="Times New Roman" w:cs="Times New Roman"/>
                      <w:sz w:val="21"/>
                      <w:szCs w:val="21"/>
                    </w:rPr>
                    <w:t>3类</w:t>
                  </w:r>
                </w:p>
              </w:tc>
              <w:tc>
                <w:tcPr>
                  <w:tcW w:w="533" w:type="dxa"/>
                  <w:vMerge w:val="restart"/>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hAnsi="Times New Roman" w:cs="Times New Roman"/>
                      <w:sz w:val="21"/>
                      <w:szCs w:val="21"/>
                    </w:rPr>
                    <w:t>Leq</w:t>
                  </w:r>
                </w:p>
              </w:tc>
              <w:tc>
                <w:tcPr>
                  <w:tcW w:w="1146" w:type="dxa"/>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昼间</w:t>
                  </w:r>
                </w:p>
              </w:tc>
              <w:tc>
                <w:tcPr>
                  <w:tcW w:w="1186" w:type="dxa"/>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hAnsi="Times New Roman" w:cs="Times New Roman"/>
                      <w:sz w:val="21"/>
                      <w:szCs w:val="21"/>
                    </w:rPr>
                    <w:t>dB(A)</w:t>
                  </w:r>
                </w:p>
              </w:tc>
              <w:tc>
                <w:tcPr>
                  <w:tcW w:w="1093" w:type="dxa"/>
                  <w:tcBorders>
                    <w:tl2br w:val="nil"/>
                    <w:tr2bl w:val="nil"/>
                  </w:tcBorders>
                  <w:vAlign w:val="center"/>
                </w:tcPr>
                <w:p>
                  <w:pPr>
                    <w:spacing w:line="288" w:lineRule="auto"/>
                    <w:ind w:left="-31"/>
                    <w:jc w:val="center"/>
                    <w:rPr>
                      <w:rFonts w:ascii="Times New Roman" w:hAnsi="Times New Roman" w:cs="Times New Roman"/>
                      <w:sz w:val="21"/>
                      <w:szCs w:val="21"/>
                    </w:rPr>
                  </w:pPr>
                  <w:r>
                    <w:rPr>
                      <w:rFonts w:hint="eastAsia" w:ascii="Times New Roman" w:hAnsi="Times New Roman" w:cs="Times New Roman"/>
                      <w:sz w:val="21"/>
                      <w:szCs w:val="21"/>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3545" w:type="dxa"/>
                  <w:gridSpan w:val="2"/>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533" w:type="dxa"/>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1146" w:type="dxa"/>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夜间</w:t>
                  </w:r>
                </w:p>
              </w:tc>
              <w:tc>
                <w:tcPr>
                  <w:tcW w:w="1186" w:type="dxa"/>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hAnsi="Times New Roman" w:cs="Times New Roman"/>
                      <w:sz w:val="21"/>
                      <w:szCs w:val="21"/>
                    </w:rPr>
                    <w:t>dB(A)</w:t>
                  </w:r>
                </w:p>
              </w:tc>
              <w:tc>
                <w:tcPr>
                  <w:tcW w:w="1093" w:type="dxa"/>
                  <w:tcBorders>
                    <w:tl2br w:val="nil"/>
                    <w:tr2bl w:val="nil"/>
                  </w:tcBorders>
                  <w:vAlign w:val="center"/>
                </w:tcPr>
                <w:p>
                  <w:pPr>
                    <w:spacing w:line="288" w:lineRule="auto"/>
                    <w:ind w:left="-31"/>
                    <w:jc w:val="center"/>
                    <w:rPr>
                      <w:rFonts w:ascii="Times New Roman" w:hAnsi="Times New Roman" w:cs="Times New Roman"/>
                      <w:sz w:val="21"/>
                      <w:szCs w:val="21"/>
                    </w:rPr>
                  </w:pPr>
                  <w:r>
                    <w:rPr>
                      <w:rFonts w:hint="eastAsia" w:ascii="Times New Roman" w:hAnsi="Times New Roman" w:cs="Times New Roman"/>
                      <w:sz w:val="21"/>
                      <w:szCs w:val="21"/>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restart"/>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z w:val="21"/>
                      <w:szCs w:val="21"/>
                    </w:rPr>
                    <w:t>固废</w:t>
                  </w:r>
                </w:p>
              </w:tc>
              <w:tc>
                <w:tcPr>
                  <w:tcW w:w="7503" w:type="dxa"/>
                  <w:gridSpan w:val="6"/>
                  <w:tcBorders>
                    <w:tl2br w:val="nil"/>
                    <w:tr2bl w:val="nil"/>
                  </w:tcBorders>
                  <w:vAlign w:val="center"/>
                </w:tcPr>
                <w:p>
                  <w:pPr>
                    <w:spacing w:line="288" w:lineRule="auto"/>
                    <w:ind w:left="-31"/>
                    <w:jc w:val="center"/>
                    <w:rPr>
                      <w:rFonts w:ascii="Times New Roman" w:hAnsi="Times New Roman" w:cs="Times New Roman"/>
                      <w:sz w:val="21"/>
                      <w:szCs w:val="21"/>
                    </w:rPr>
                  </w:pPr>
                  <w:r>
                    <w:rPr>
                      <w:rFonts w:ascii="Times New Roman" w:cs="Times New Roman"/>
                      <w:spacing w:val="-4"/>
                      <w:sz w:val="21"/>
                      <w:szCs w:val="21"/>
                    </w:rPr>
                    <w:t>《一般工业固体废物贮存、处置场污染控制标准</w:t>
                  </w:r>
                  <w:r>
                    <w:rPr>
                      <w:rFonts w:ascii="Times New Roman" w:cs="Times New Roman"/>
                      <w:sz w:val="21"/>
                      <w:szCs w:val="21"/>
                    </w:rPr>
                    <w:t>》（</w:t>
                  </w:r>
                  <w:r>
                    <w:rPr>
                      <w:rFonts w:ascii="Times New Roman" w:hAnsi="Times New Roman" w:cs="Times New Roman"/>
                      <w:sz w:val="21"/>
                      <w:szCs w:val="21"/>
                    </w:rPr>
                    <w:t>GB 18599-2001</w:t>
                  </w:r>
                  <w:r>
                    <w:rPr>
                      <w:rFonts w:ascii="Times New Roman" w:cs="Times New Roman"/>
                      <w:sz w:val="21"/>
                      <w:szCs w:val="21"/>
                    </w:rPr>
                    <w:t>）及其</w:t>
                  </w:r>
                  <w:r>
                    <w:rPr>
                      <w:rFonts w:ascii="Times New Roman" w:hAnsi="Times New Roman" w:cs="Times New Roman"/>
                      <w:sz w:val="21"/>
                      <w:szCs w:val="21"/>
                    </w:rPr>
                    <w:t>2013</w:t>
                  </w:r>
                  <w:r>
                    <w:rPr>
                      <w:rFonts w:ascii="Times New Roman" w:cs="Times New Roman"/>
                      <w:sz w:val="21"/>
                      <w:szCs w:val="21"/>
                    </w:rPr>
                    <w:t>年修改单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 w:type="dxa"/>
                  <w:vMerge w:val="continue"/>
                  <w:tcBorders>
                    <w:tl2br w:val="nil"/>
                    <w:tr2bl w:val="nil"/>
                  </w:tcBorders>
                  <w:vAlign w:val="center"/>
                </w:tcPr>
                <w:p>
                  <w:pPr>
                    <w:spacing w:line="288" w:lineRule="auto"/>
                    <w:ind w:left="-31"/>
                    <w:jc w:val="center"/>
                    <w:rPr>
                      <w:rFonts w:ascii="Times New Roman" w:hAnsi="Times New Roman" w:cs="Times New Roman"/>
                      <w:sz w:val="21"/>
                      <w:szCs w:val="21"/>
                    </w:rPr>
                  </w:pPr>
                </w:p>
              </w:tc>
              <w:tc>
                <w:tcPr>
                  <w:tcW w:w="7503" w:type="dxa"/>
                  <w:gridSpan w:val="6"/>
                  <w:tcBorders>
                    <w:tl2br w:val="nil"/>
                    <w:tr2bl w:val="nil"/>
                  </w:tcBorders>
                  <w:vAlign w:val="center"/>
                </w:tcPr>
                <w:p>
                  <w:pPr>
                    <w:spacing w:line="288" w:lineRule="auto"/>
                    <w:ind w:left="-31"/>
                    <w:jc w:val="center"/>
                    <w:rPr>
                      <w:rFonts w:ascii="Times New Roman" w:hAnsi="Times New Roman" w:cs="Times New Roman"/>
                      <w:spacing w:val="-4"/>
                      <w:sz w:val="21"/>
                      <w:szCs w:val="21"/>
                    </w:rPr>
                  </w:pPr>
                  <w:r>
                    <w:rPr>
                      <w:rFonts w:ascii="Times New Roman" w:hAnsi="Times New Roman" w:cs="Times New Roman"/>
                      <w:sz w:val="21"/>
                      <w:szCs w:val="21"/>
                    </w:rPr>
                    <w:t>《危险废物贮存污染控制标准（GB18597-2001）》（2013修订）</w:t>
                  </w:r>
                </w:p>
              </w:tc>
            </w:tr>
          </w:tbl>
          <w:p>
            <w:pPr>
              <w:adjustRightInd w:val="0"/>
              <w:snapToGrid w:val="0"/>
              <w:spacing w:line="288" w:lineRule="auto"/>
              <w:ind w:firstLine="420" w:firstLineChars="200"/>
              <w:jc w:val="left"/>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vAlign w:val="center"/>
          </w:tcPr>
          <w:p>
            <w:pPr>
              <w:jc w:val="center"/>
              <w:rPr>
                <w:rFonts w:ascii="Times New Roman" w:hAnsi="Times New Roman" w:cs="Times New Roman"/>
                <w:b/>
                <w:sz w:val="24"/>
                <w:szCs w:val="24"/>
                <w:highlight w:val="yellow"/>
              </w:rPr>
            </w:pPr>
            <w:r>
              <w:rPr>
                <w:rFonts w:ascii="Times New Roman" w:hAnsi="Times New Roman" w:cs="Times New Roman"/>
                <w:b/>
                <w:sz w:val="24"/>
                <w:szCs w:val="24"/>
              </w:rPr>
              <w:t>总量控制指标</w:t>
            </w:r>
          </w:p>
        </w:tc>
        <w:tc>
          <w:tcPr>
            <w:tcW w:w="8353" w:type="dxa"/>
            <w:vAlign w:val="center"/>
          </w:tcPr>
          <w:p>
            <w:pPr>
              <w:spacing w:line="360" w:lineRule="auto"/>
              <w:ind w:firstLine="480" w:firstLineChars="200"/>
              <w:rPr>
                <w:rFonts w:ascii="Times New Roman" w:hAnsi="Times New Roman" w:cs="Times New Roman"/>
                <w:sz w:val="24"/>
                <w:szCs w:val="24"/>
                <w:lang w:val="zh-CN"/>
              </w:rPr>
            </w:pPr>
            <w:r>
              <w:rPr>
                <w:rFonts w:hint="eastAsia" w:ascii="Times New Roman" w:hAnsi="Times New Roman" w:cs="Times New Roman"/>
                <w:sz w:val="24"/>
                <w:szCs w:val="24"/>
              </w:rPr>
              <w:t>因现有项目验收时间较早，未对焊接、打磨产生的废气做出治理要求；其次，现有项目生活污水排至地下管网未申请总量。本次扩建项目将按实际情况合并计算现有项目废水排放量、各类烟尘排放量并统一申请排放总量，项目验收期间，对原有项目整改内容和本次新增项目内容统一进行验收。</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根据《新乡市建设项目新增总量指标替代管理指导意见（试行）》规定，本指导意见所指主要污染物为：化学需氧量（COD）、氨氮（NH</w:t>
            </w:r>
            <w:r>
              <w:rPr>
                <w:rFonts w:ascii="Times New Roman" w:hAnsi="Times New Roman" w:cs="Times New Roman"/>
                <w:sz w:val="24"/>
                <w:szCs w:val="24"/>
                <w:vertAlign w:val="subscript"/>
              </w:rPr>
              <w:t>3</w:t>
            </w:r>
            <w:r>
              <w:rPr>
                <w:rFonts w:ascii="Times New Roman" w:hAnsi="Times New Roman" w:cs="Times New Roman"/>
                <w:sz w:val="24"/>
                <w:szCs w:val="24"/>
              </w:rPr>
              <w:t>-N）、二氧化硫（SO</w:t>
            </w:r>
            <w:r>
              <w:rPr>
                <w:rFonts w:ascii="Times New Roman" w:hAnsi="Times New Roman" w:cs="Times New Roman"/>
                <w:sz w:val="24"/>
                <w:szCs w:val="24"/>
                <w:vertAlign w:val="subscript"/>
              </w:rPr>
              <w:t>2</w:t>
            </w:r>
            <w:r>
              <w:rPr>
                <w:rFonts w:ascii="Times New Roman" w:hAnsi="Times New Roman" w:cs="Times New Roman"/>
                <w:sz w:val="24"/>
                <w:szCs w:val="24"/>
              </w:rPr>
              <w:t>）、氮氧化物（NOx）、颗粒物（TSP）、挥发性有机物（VOCs）</w:t>
            </w:r>
            <w:r>
              <w:rPr>
                <w:rFonts w:hint="eastAsia" w:ascii="Times New Roman" w:hAnsi="Times New Roman" w:cs="Times New Roman"/>
                <w:sz w:val="24"/>
                <w:szCs w:val="24"/>
              </w:rPr>
              <w:t>。</w:t>
            </w:r>
          </w:p>
          <w:p>
            <w:pPr>
              <w:spacing w:line="360" w:lineRule="auto"/>
              <w:ind w:firstLine="480" w:firstLineChars="200"/>
              <w:rPr>
                <w:rFonts w:hAnsi="宋体"/>
                <w:sz w:val="24"/>
                <w:szCs w:val="24"/>
              </w:rPr>
            </w:pPr>
            <w:r>
              <w:rPr>
                <w:rFonts w:ascii="Times New Roman" w:hAnsi="Times New Roman" w:cs="Times New Roman"/>
                <w:sz w:val="24"/>
                <w:szCs w:val="24"/>
              </w:rPr>
              <w:t>因此，</w:t>
            </w:r>
            <w:r>
              <w:rPr>
                <w:rFonts w:hint="eastAsia" w:ascii="Times New Roman" w:hAnsi="Times New Roman" w:cs="Times New Roman"/>
                <w:sz w:val="24"/>
                <w:szCs w:val="24"/>
              </w:rPr>
              <w:t>本项目总量</w:t>
            </w:r>
            <w:r>
              <w:rPr>
                <w:rFonts w:ascii="Times New Roman" w:hAnsi="Times New Roman" w:cs="Times New Roman"/>
                <w:sz w:val="24"/>
                <w:szCs w:val="24"/>
              </w:rPr>
              <w:t>申请见表25。</w:t>
            </w:r>
          </w:p>
          <w:p>
            <w:pPr>
              <w:pStyle w:val="10"/>
              <w:spacing w:before="93" w:beforeLines="30" w:after="93" w:afterLines="30"/>
              <w:jc w:val="center"/>
              <w:rPr>
                <w:rFonts w:ascii="Times New Roman" w:hAnsi="Times New Roman" w:eastAsia="宋体"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25</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hint="eastAsia" w:ascii="Times New Roman" w:hAnsi="Times New Roman" w:eastAsia="宋体" w:cs="Times New Roman"/>
                <w:b/>
                <w:bCs/>
                <w:sz w:val="22"/>
                <w:szCs w:val="22"/>
              </w:rPr>
              <w:t>项目总量申请一览表          单位（t/a)</w:t>
            </w:r>
          </w:p>
          <w:tbl>
            <w:tblPr>
              <w:tblStyle w:val="28"/>
              <w:tblW w:w="496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157"/>
              <w:gridCol w:w="2037"/>
              <w:gridCol w:w="2037"/>
              <w:gridCol w:w="2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3" w:type="pct"/>
                  <w:gridSpan w:val="2"/>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污染物</w:t>
                  </w:r>
                </w:p>
              </w:tc>
              <w:tc>
                <w:tcPr>
                  <w:tcW w:w="1262" w:type="pct"/>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现有项目</w:t>
                  </w:r>
                </w:p>
              </w:tc>
              <w:tc>
                <w:tcPr>
                  <w:tcW w:w="1262" w:type="pct"/>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扩建项目</w:t>
                  </w:r>
                </w:p>
              </w:tc>
              <w:tc>
                <w:tcPr>
                  <w:tcW w:w="1263" w:type="pct"/>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6" w:type="pct"/>
                  <w:vMerge w:val="restar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废水</w:t>
                  </w:r>
                </w:p>
              </w:tc>
              <w:tc>
                <w:tcPr>
                  <w:tcW w:w="717" w:type="pct"/>
                  <w:tcBorders>
                    <w:tl2br w:val="nil"/>
                    <w:tr2bl w:val="nil"/>
                  </w:tcBorders>
                  <w:vAlign w:val="center"/>
                </w:tcPr>
                <w:p>
                  <w:pPr>
                    <w:spacing w:line="312" w:lineRule="auto"/>
                    <w:jc w:val="center"/>
                    <w:rPr>
                      <w:rFonts w:ascii="Times New Roman" w:hAnsi="Times New Roman" w:cs="Times New Roman"/>
                      <w:sz w:val="21"/>
                      <w:szCs w:val="21"/>
                    </w:rPr>
                  </w:pPr>
                  <w:r>
                    <w:rPr>
                      <w:rFonts w:ascii="Times New Roman" w:hAnsi="Times New Roman" w:cs="Times New Roman"/>
                      <w:sz w:val="21"/>
                      <w:szCs w:val="21"/>
                    </w:rPr>
                    <w:t>COD</w:t>
                  </w:r>
                </w:p>
              </w:tc>
              <w:tc>
                <w:tcPr>
                  <w:tcW w:w="1262"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0.0024</w:t>
                  </w:r>
                </w:p>
              </w:tc>
              <w:tc>
                <w:tcPr>
                  <w:tcW w:w="1262"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0.0096</w:t>
                  </w:r>
                </w:p>
              </w:tc>
              <w:tc>
                <w:tcPr>
                  <w:tcW w:w="1263"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6" w:type="pct"/>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p>
              </w:tc>
              <w:tc>
                <w:tcPr>
                  <w:tcW w:w="717" w:type="pct"/>
                  <w:tcBorders>
                    <w:tl2br w:val="nil"/>
                    <w:tr2bl w:val="nil"/>
                  </w:tcBorders>
                  <w:vAlign w:val="center"/>
                </w:tcPr>
                <w:p>
                  <w:pPr>
                    <w:spacing w:line="312" w:lineRule="auto"/>
                    <w:jc w:val="center"/>
                    <w:rPr>
                      <w:rFonts w:ascii="Times New Roman" w:hAnsi="Times New Roman" w:cs="Times New Roman"/>
                      <w:sz w:val="21"/>
                      <w:szCs w:val="21"/>
                    </w:rPr>
                  </w:pPr>
                  <w:r>
                    <w:rPr>
                      <w:rFonts w:ascii="Times New Roman" w:hAnsi="Times New Roman" w:cs="Times New Roman"/>
                      <w:sz w:val="21"/>
                      <w:szCs w:val="21"/>
                    </w:rPr>
                    <w:t>氨氮</w:t>
                  </w:r>
                </w:p>
              </w:tc>
              <w:tc>
                <w:tcPr>
                  <w:tcW w:w="1262"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0.00012</w:t>
                  </w:r>
                </w:p>
              </w:tc>
              <w:tc>
                <w:tcPr>
                  <w:tcW w:w="1262"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0.00048</w:t>
                  </w:r>
                </w:p>
              </w:tc>
              <w:tc>
                <w:tcPr>
                  <w:tcW w:w="1263"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96"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废气</w:t>
                  </w:r>
                </w:p>
              </w:tc>
              <w:tc>
                <w:tcPr>
                  <w:tcW w:w="717"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颗粒物</w:t>
                  </w:r>
                </w:p>
              </w:tc>
              <w:tc>
                <w:tcPr>
                  <w:tcW w:w="1262"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0.00063</w:t>
                  </w:r>
                </w:p>
              </w:tc>
              <w:tc>
                <w:tcPr>
                  <w:tcW w:w="1262"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0.00495</w:t>
                  </w:r>
                </w:p>
              </w:tc>
              <w:tc>
                <w:tcPr>
                  <w:tcW w:w="1263"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0.00558</w:t>
                  </w:r>
                </w:p>
              </w:tc>
            </w:tr>
          </w:tbl>
          <w:p>
            <w:pPr>
              <w:spacing w:line="360" w:lineRule="auto"/>
              <w:ind w:firstLine="480" w:firstLineChars="200"/>
              <w:rPr>
                <w:rFonts w:ascii="Times New Roman" w:hAnsi="Times New Roman" w:cs="Times New Roman"/>
                <w:sz w:val="21"/>
                <w:szCs w:val="21"/>
              </w:rPr>
            </w:pPr>
            <w:r>
              <w:rPr>
                <w:rFonts w:ascii="Times New Roman" w:hAnsi="Times New Roman" w:cs="Times New Roman"/>
                <w:bCs/>
                <w:sz w:val="24"/>
                <w:szCs w:val="24"/>
              </w:rPr>
              <w:t>区域内同意该项目从</w:t>
            </w:r>
            <w:r>
              <w:rPr>
                <w:rFonts w:hint="eastAsia" w:ascii="Times New Roman" w:hAnsi="Times New Roman" w:cs="Times New Roman"/>
                <w:bCs/>
                <w:sz w:val="24"/>
                <w:szCs w:val="24"/>
              </w:rPr>
              <w:t>区域</w:t>
            </w:r>
            <w:r>
              <w:rPr>
                <w:rFonts w:ascii="Times New Roman" w:hAnsi="Times New Roman" w:cs="Times New Roman"/>
                <w:bCs/>
                <w:sz w:val="24"/>
                <w:szCs w:val="24"/>
              </w:rPr>
              <w:t>年度总量预算指标内</w:t>
            </w:r>
            <w:r>
              <w:rPr>
                <w:rFonts w:hint="eastAsia" w:ascii="Times New Roman" w:hAnsi="Times New Roman" w:cs="Times New Roman"/>
                <w:bCs/>
                <w:sz w:val="24"/>
                <w:szCs w:val="24"/>
              </w:rPr>
              <w:t>支</w:t>
            </w:r>
            <w:r>
              <w:rPr>
                <w:rFonts w:ascii="Times New Roman" w:hAnsi="Times New Roman" w:cs="Times New Roman"/>
                <w:bCs/>
                <w:sz w:val="24"/>
                <w:szCs w:val="24"/>
              </w:rPr>
              <w:t>取。</w:t>
            </w:r>
          </w:p>
        </w:tc>
      </w:tr>
    </w:tbl>
    <w:p>
      <w:pPr>
        <w:jc w:val="left"/>
        <w:outlineLvl w:val="0"/>
        <w:rPr>
          <w:rStyle w:val="103"/>
        </w:rPr>
      </w:pPr>
      <w:r>
        <w:rPr>
          <w:rFonts w:ascii="Times New Roman" w:hAnsi="Times New Roman" w:cs="Times New Roman"/>
          <w:b/>
          <w:sz w:val="30"/>
        </w:rPr>
        <w:br w:type="page"/>
      </w:r>
      <w:r>
        <w:rPr>
          <w:rStyle w:val="103"/>
        </w:rPr>
        <w:t>建设项目工程分析</w:t>
      </w:r>
    </w:p>
    <w:tbl>
      <w:tblPr>
        <w:tblStyle w:val="28"/>
        <w:tblW w:w="8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802" w:type="dxa"/>
            <w:vAlign w:val="center"/>
          </w:tcPr>
          <w:p>
            <w:pPr>
              <w:spacing w:line="360" w:lineRule="auto"/>
              <w:jc w:val="left"/>
              <w:rPr>
                <w:rFonts w:ascii="黑体" w:hAnsi="黑体" w:eastAsia="黑体" w:cs="黑体"/>
                <w:b/>
                <w:bCs/>
                <w:szCs w:val="28"/>
              </w:rPr>
            </w:pPr>
            <w:r>
              <w:rPr>
                <w:rFonts w:hint="eastAsia" w:ascii="黑体" w:hAnsi="黑体" w:eastAsia="黑体" w:cs="黑体"/>
                <w:b/>
                <w:bCs/>
                <w:szCs w:val="28"/>
              </w:rPr>
              <w:t>工艺流程简述：</w:t>
            </w:r>
          </w:p>
          <w:p>
            <w:pPr>
              <w:spacing w:line="360" w:lineRule="auto"/>
              <w:ind w:firstLine="480" w:firstLineChars="200"/>
              <w:jc w:val="left"/>
              <w:rPr>
                <w:rFonts w:ascii="Times New Roman" w:hAnsi="Times New Roman" w:eastAsia="黑体" w:cs="Times New Roman"/>
                <w:sz w:val="21"/>
                <w:szCs w:val="21"/>
              </w:rPr>
            </w:pPr>
            <w:r>
              <w:rPr>
                <w:rFonts w:hint="eastAsia" w:ascii="Times New Roman" w:hAnsi="Times New Roman" w:cs="Times New Roman"/>
                <w:sz w:val="24"/>
                <w:szCs w:val="24"/>
              </w:rPr>
              <w:t>环保设备关键部件制造所形成的产品主要</w:t>
            </w:r>
            <w:r>
              <w:rPr>
                <w:rFonts w:ascii="Times New Roman" w:hAnsi="Times New Roman" w:cs="Times New Roman"/>
                <w:sz w:val="24"/>
                <w:szCs w:val="24"/>
              </w:rPr>
              <w:t>由</w:t>
            </w:r>
            <w:r>
              <w:rPr>
                <w:rFonts w:hint="eastAsia" w:ascii="Times New Roman" w:hAnsi="Times New Roman" w:cs="Times New Roman"/>
                <w:sz w:val="24"/>
                <w:szCs w:val="24"/>
              </w:rPr>
              <w:t>机座、筛箱、激振器、电机、减速机、筛网等组成，所需零部件均为外购产品</w:t>
            </w:r>
            <w:r>
              <w:rPr>
                <w:rFonts w:ascii="Times New Roman" w:hAnsi="Times New Roman" w:cs="Times New Roman"/>
                <w:sz w:val="24"/>
                <w:szCs w:val="24"/>
              </w:rPr>
              <w:t>，</w:t>
            </w:r>
            <w:r>
              <w:rPr>
                <w:rFonts w:hint="eastAsia" w:ascii="Times New Roman" w:hAnsi="Times New Roman" w:cs="Times New Roman"/>
                <w:sz w:val="24"/>
                <w:szCs w:val="24"/>
              </w:rPr>
              <w:t>在厂内进行下料、焊接、机加工及组装。</w:t>
            </w:r>
            <w:r>
              <w:rPr>
                <w:rFonts w:hint="eastAsia" w:ascii="Times New Roman" w:hAnsi="Times New Roman" w:cs="Times New Roman"/>
                <w:sz w:val="24"/>
              </w:rPr>
              <w:t>项目产品主要为环保设备所需的关键部件，</w:t>
            </w:r>
            <w:r>
              <w:rPr>
                <w:rFonts w:ascii="Times New Roman" w:hAnsi="Times New Roman" w:cs="Times New Roman"/>
                <w:sz w:val="24"/>
                <w:szCs w:val="24"/>
              </w:rPr>
              <w:t>均由</w:t>
            </w:r>
            <w:r>
              <w:rPr>
                <w:rFonts w:hint="eastAsia" w:ascii="Times New Roman" w:hAnsi="Times New Roman" w:cs="Times New Roman"/>
                <w:sz w:val="24"/>
                <w:szCs w:val="24"/>
              </w:rPr>
              <w:t>不锈钢</w:t>
            </w:r>
            <w:r>
              <w:rPr>
                <w:rFonts w:ascii="Times New Roman" w:hAnsi="Times New Roman" w:cs="Times New Roman"/>
                <w:sz w:val="24"/>
                <w:szCs w:val="24"/>
              </w:rPr>
              <w:t>钢板、</w:t>
            </w:r>
            <w:r>
              <w:rPr>
                <w:rFonts w:hint="eastAsia" w:ascii="Times New Roman" w:hAnsi="Times New Roman" w:cs="Times New Roman"/>
                <w:sz w:val="24"/>
                <w:szCs w:val="24"/>
              </w:rPr>
              <w:t>碳钢板、型钢</w:t>
            </w:r>
            <w:r>
              <w:rPr>
                <w:rFonts w:ascii="Times New Roman" w:hAnsi="Times New Roman" w:cs="Times New Roman"/>
                <w:sz w:val="24"/>
                <w:szCs w:val="24"/>
              </w:rPr>
              <w:t>等为原料，经下料、折弯、</w:t>
            </w:r>
            <w:r>
              <w:rPr>
                <w:rFonts w:hint="eastAsia" w:ascii="Times New Roman" w:hAnsi="Times New Roman" w:cs="Times New Roman"/>
                <w:sz w:val="24"/>
                <w:szCs w:val="24"/>
              </w:rPr>
              <w:t>卷板、</w:t>
            </w:r>
            <w:r>
              <w:rPr>
                <w:rFonts w:ascii="Times New Roman" w:hAnsi="Times New Roman" w:cs="Times New Roman"/>
                <w:sz w:val="24"/>
                <w:szCs w:val="24"/>
              </w:rPr>
              <w:t>焊接、打磨成为机架</w:t>
            </w:r>
            <w:r>
              <w:rPr>
                <w:rFonts w:hint="eastAsia" w:ascii="Times New Roman" w:hAnsi="Times New Roman" w:cs="Times New Roman"/>
                <w:sz w:val="24"/>
                <w:szCs w:val="24"/>
              </w:rPr>
              <w:t>和筛箱</w:t>
            </w:r>
            <w:r>
              <w:rPr>
                <w:rFonts w:ascii="Times New Roman" w:hAnsi="Times New Roman" w:cs="Times New Roman"/>
                <w:sz w:val="24"/>
                <w:szCs w:val="24"/>
              </w:rPr>
              <w:t>，然后与</w:t>
            </w:r>
            <w:r>
              <w:rPr>
                <w:rFonts w:hint="eastAsia" w:ascii="Times New Roman" w:hAnsi="Times New Roman" w:cs="Times New Roman"/>
                <w:sz w:val="24"/>
                <w:szCs w:val="24"/>
              </w:rPr>
              <w:t>电机、激振器、链条等</w:t>
            </w:r>
            <w:r>
              <w:rPr>
                <w:rFonts w:ascii="Times New Roman" w:hAnsi="Times New Roman" w:cs="Times New Roman"/>
                <w:sz w:val="24"/>
                <w:szCs w:val="24"/>
              </w:rPr>
              <w:t>配件组装后即为成品</w:t>
            </w:r>
            <w:r>
              <w:rPr>
                <w:rFonts w:hint="eastAsia" w:ascii="Times New Roman" w:hAnsi="Times New Roman" w:cs="Times New Roman"/>
                <w:sz w:val="24"/>
                <w:szCs w:val="24"/>
              </w:rPr>
              <w:t>。本项目产品以不锈钢为主，厂内不进行喷漆、电镀等表面处理工序。</w:t>
            </w:r>
            <w:r>
              <w:rPr>
                <w:rFonts w:hint="eastAsia" w:ascii="Times New Roman" w:hAnsi="Times New Roman" w:cs="Times New Roman"/>
                <w:sz w:val="24"/>
              </w:rPr>
              <w:t>主要包括项目生产工艺流程及产污环节详见图5</w:t>
            </w:r>
          </w:p>
          <w:p>
            <w:pPr>
              <w:pStyle w:val="10"/>
              <w:spacing w:before="93" w:beforeLines="30" w:after="93"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图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图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5</w:t>
            </w:r>
            <w:r>
              <w:rPr>
                <w:rFonts w:ascii="Times New Roman" w:hAnsi="Times New Roman" w:cs="Times New Roman"/>
                <w:b/>
                <w:bCs/>
                <w:sz w:val="22"/>
                <w:szCs w:val="22"/>
              </w:rPr>
              <w:fldChar w:fldCharType="end"/>
            </w:r>
            <w:r>
              <w:rPr>
                <w:rFonts w:ascii="Times New Roman" w:hAnsi="Times New Roman" w:cs="Times New Roman"/>
                <w:b/>
                <w:bCs/>
                <w:sz w:val="22"/>
                <w:szCs w:val="22"/>
              </w:rPr>
              <w:drawing>
                <wp:anchor distT="0" distB="0" distL="114300" distR="114300" simplePos="0" relativeHeight="252786688" behindDoc="0" locked="0" layoutInCell="1" allowOverlap="1">
                  <wp:simplePos x="0" y="0"/>
                  <wp:positionH relativeFrom="column">
                    <wp:posOffset>300990</wp:posOffset>
                  </wp:positionH>
                  <wp:positionV relativeFrom="paragraph">
                    <wp:posOffset>55245</wp:posOffset>
                  </wp:positionV>
                  <wp:extent cx="4997450" cy="4973955"/>
                  <wp:effectExtent l="0" t="0" r="6350" b="4445"/>
                  <wp:wrapTopAndBottom/>
                  <wp:docPr id="14" name="图片 14" descr="C:\Users\007\Desktop\流程图2.jpg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007\Desktop\流程图2.jpg流程图2"/>
                          <pic:cNvPicPr>
                            <a:picLocks noChangeAspect="1"/>
                          </pic:cNvPicPr>
                        </pic:nvPicPr>
                        <pic:blipFill>
                          <a:blip r:embed="rId14"/>
                          <a:srcRect/>
                          <a:stretch>
                            <a:fillRect/>
                          </a:stretch>
                        </pic:blipFill>
                        <pic:spPr>
                          <a:xfrm>
                            <a:off x="0" y="0"/>
                            <a:ext cx="4997450" cy="4973955"/>
                          </a:xfrm>
                          <a:prstGeom prst="rect">
                            <a:avLst/>
                          </a:prstGeom>
                          <a:noFill/>
                          <a:ln>
                            <a:noFill/>
                          </a:ln>
                        </pic:spPr>
                      </pic:pic>
                    </a:graphicData>
                  </a:graphic>
                </wp:anchor>
              </w:drawing>
            </w:r>
            <w:r>
              <w:rPr>
                <w:rFonts w:hint="eastAsia" w:ascii="Times New Roman" w:hAnsi="Times New Roman" w:cs="Times New Roman"/>
                <w:b/>
                <w:bCs/>
                <w:sz w:val="22"/>
                <w:szCs w:val="22"/>
              </w:rPr>
              <w:t xml:space="preserve"> </w:t>
            </w:r>
            <w:r>
              <w:rPr>
                <w:rFonts w:ascii="Times New Roman" w:hAnsi="Times New Roman" w:cs="Times New Roman"/>
                <w:b/>
                <w:bCs/>
                <w:sz w:val="22"/>
                <w:szCs w:val="22"/>
              </w:rPr>
              <w:t>项目生产工艺流程及产污环节图</w:t>
            </w:r>
          </w:p>
          <w:p>
            <w:pPr>
              <w:topLinePunct/>
              <w:snapToGrid w:val="0"/>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生产工艺简述如下：</w:t>
            </w:r>
          </w:p>
          <w:p>
            <w:pPr>
              <w:spacing w:line="360" w:lineRule="auto"/>
              <w:ind w:firstLine="480" w:firstLineChars="200"/>
              <w:rPr>
                <w:sz w:val="24"/>
                <w:szCs w:val="24"/>
              </w:rPr>
            </w:pPr>
            <w:r>
              <w:rPr>
                <w:rFonts w:hint="eastAsia"/>
                <w:sz w:val="24"/>
                <w:szCs w:val="24"/>
              </w:rPr>
              <w:t>①</w:t>
            </w:r>
            <w:r>
              <w:rPr>
                <w:sz w:val="24"/>
                <w:szCs w:val="24"/>
              </w:rPr>
              <w:t>下料：</w:t>
            </w:r>
            <w:r>
              <w:rPr>
                <w:rFonts w:hint="eastAsia"/>
                <w:sz w:val="24"/>
                <w:szCs w:val="24"/>
              </w:rPr>
              <w:t>不锈钢板、碳钢板、型钢（槽钢、角钢、圆管）等，采用剪板机或等离子切割机进行下料，型钢采用切割机进行下料，下料过程中均会产生废气，固废、噪声。</w:t>
            </w:r>
          </w:p>
          <w:p>
            <w:pPr>
              <w:spacing w:line="360" w:lineRule="auto"/>
              <w:ind w:firstLine="480" w:firstLineChars="200"/>
              <w:rPr>
                <w:sz w:val="24"/>
                <w:szCs w:val="24"/>
              </w:rPr>
            </w:pPr>
            <w:r>
              <w:rPr>
                <w:rFonts w:hint="eastAsia"/>
                <w:sz w:val="24"/>
                <w:szCs w:val="24"/>
              </w:rPr>
              <w:t>②</w:t>
            </w:r>
            <w:r>
              <w:rPr>
                <w:sz w:val="24"/>
                <w:szCs w:val="24"/>
              </w:rPr>
              <w:t>折弯</w:t>
            </w:r>
            <w:r>
              <w:rPr>
                <w:rFonts w:hint="eastAsia"/>
                <w:sz w:val="24"/>
                <w:szCs w:val="24"/>
              </w:rPr>
              <w:t>、钻孔</w:t>
            </w:r>
            <w:r>
              <w:rPr>
                <w:sz w:val="24"/>
                <w:szCs w:val="24"/>
              </w:rPr>
              <w:t>：下料后的</w:t>
            </w:r>
            <w:r>
              <w:rPr>
                <w:rFonts w:hint="eastAsia"/>
                <w:sz w:val="24"/>
                <w:szCs w:val="24"/>
              </w:rPr>
              <w:t>材料</w:t>
            </w:r>
            <w:r>
              <w:rPr>
                <w:sz w:val="24"/>
                <w:szCs w:val="24"/>
              </w:rPr>
              <w:t>根据需要采用折弯机进行折弯处理</w:t>
            </w:r>
            <w:r>
              <w:rPr>
                <w:rFonts w:hint="eastAsia"/>
                <w:sz w:val="24"/>
                <w:szCs w:val="24"/>
              </w:rPr>
              <w:t>及钻孔加工，折弯</w:t>
            </w:r>
            <w:r>
              <w:rPr>
                <w:sz w:val="24"/>
                <w:szCs w:val="24"/>
              </w:rPr>
              <w:t>过程产生</w:t>
            </w:r>
            <w:r>
              <w:rPr>
                <w:rFonts w:hint="eastAsia"/>
                <w:sz w:val="24"/>
                <w:szCs w:val="24"/>
              </w:rPr>
              <w:t>噪声，钻孔过程中产生固废（钻孔产生的粉尘因比重较大，可沉降至工作台、故按固废处理）和噪声。</w:t>
            </w:r>
          </w:p>
          <w:p>
            <w:pPr>
              <w:spacing w:line="360" w:lineRule="auto"/>
              <w:ind w:firstLine="480" w:firstLineChars="200"/>
              <w:rPr>
                <w:sz w:val="24"/>
                <w:szCs w:val="24"/>
              </w:rPr>
            </w:pPr>
            <w:r>
              <w:rPr>
                <w:rFonts w:hint="eastAsia"/>
                <w:sz w:val="24"/>
                <w:szCs w:val="24"/>
              </w:rPr>
              <w:t>③卷板：部分板材需进行卷板处理，使用卷板机将下料后的板材卷成圆形，卷板过程中会产生噪声。</w:t>
            </w:r>
          </w:p>
          <w:p>
            <w:pPr>
              <w:spacing w:line="360" w:lineRule="auto"/>
              <w:ind w:firstLine="480" w:firstLineChars="200"/>
              <w:rPr>
                <w:sz w:val="24"/>
                <w:szCs w:val="24"/>
              </w:rPr>
            </w:pPr>
            <w:r>
              <w:rPr>
                <w:rFonts w:hint="eastAsia"/>
                <w:sz w:val="24"/>
                <w:szCs w:val="24"/>
              </w:rPr>
              <w:t>④焊接：将下料、折弯、钻孔及卷板后的各类材料根据需要分别采用氩弧焊、二保焊、交流焊等进行焊接，焊接过程中会产生焊接烟尘（颗粒物）。</w:t>
            </w:r>
          </w:p>
          <w:p>
            <w:pPr>
              <w:spacing w:line="360" w:lineRule="auto"/>
              <w:ind w:firstLine="480" w:firstLineChars="200"/>
              <w:rPr>
                <w:sz w:val="24"/>
                <w:szCs w:val="24"/>
              </w:rPr>
            </w:pPr>
            <w:r>
              <w:rPr>
                <w:rFonts w:hint="eastAsia"/>
                <w:sz w:val="24"/>
                <w:szCs w:val="24"/>
              </w:rPr>
              <w:t>⑤机加工、打磨：焊接后的工件根据需求进行打磨、车、铣、刨等工艺加工成型，使其满足产品要求。打磨和机加工过程中均会产生废气、固废、噪声。</w:t>
            </w:r>
          </w:p>
          <w:p>
            <w:pPr>
              <w:spacing w:line="360" w:lineRule="auto"/>
              <w:ind w:firstLine="480" w:firstLineChars="200"/>
              <w:rPr>
                <w:rFonts w:ascii="Times New Roman" w:hAnsi="Times New Roman" w:cs="Times New Roman"/>
                <w:kern w:val="0"/>
                <w:szCs w:val="24"/>
              </w:rPr>
            </w:pPr>
            <w:r>
              <w:rPr>
                <w:rFonts w:hint="eastAsia"/>
                <w:sz w:val="24"/>
                <w:szCs w:val="24"/>
              </w:rPr>
              <w:t>⑥组装：将机加工过的各工件与外购的产品配件电机、减速机、链条、弹簧、法兰、筛网、网件等使用螺栓与机架组装成为一体后即为成品。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2" w:type="dxa"/>
          </w:tcPr>
          <w:p>
            <w:pPr>
              <w:spacing w:line="360" w:lineRule="auto"/>
              <w:jc w:val="left"/>
              <w:rPr>
                <w:rFonts w:ascii="Times New Roman" w:hAnsi="Times New Roman" w:eastAsia="黑体" w:cs="Times New Roman"/>
                <w:b/>
                <w:bCs/>
                <w:szCs w:val="28"/>
              </w:rPr>
            </w:pPr>
            <w:r>
              <w:rPr>
                <w:rFonts w:hint="eastAsia" w:ascii="Times New Roman" w:hAnsi="Times New Roman" w:eastAsia="黑体" w:cs="Times New Roman"/>
                <w:b/>
                <w:bCs/>
                <w:szCs w:val="28"/>
              </w:rPr>
              <w:t>主要污染工序：</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本项目运营期主要污染物、产污环节及污染防治设施详见表26。</w:t>
            </w:r>
          </w:p>
          <w:p>
            <w:pPr>
              <w:pStyle w:val="10"/>
              <w:spacing w:before="93" w:beforeLines="30" w:after="93" w:afterLines="30"/>
              <w:jc w:val="center"/>
              <w:rPr>
                <w:rFonts w:ascii="Times New Roman" w:hAnsi="Times New Roman" w:eastAsia="宋体"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26</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建设项目</w:t>
            </w:r>
            <w:r>
              <w:rPr>
                <w:rFonts w:hint="eastAsia" w:ascii="Times New Roman" w:hAnsi="Times New Roman" w:eastAsia="宋体" w:cs="Times New Roman"/>
                <w:b/>
                <w:bCs/>
                <w:sz w:val="22"/>
                <w:szCs w:val="22"/>
              </w:rPr>
              <w:t>运营期产污环节一览表</w:t>
            </w:r>
          </w:p>
          <w:tbl>
            <w:tblPr>
              <w:tblStyle w:val="28"/>
              <w:tblW w:w="85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2896"/>
              <w:gridCol w:w="2337"/>
              <w:gridCol w:w="23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pPr>
                    <w:widowControl/>
                    <w:topLinePunct/>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类别</w:t>
                  </w:r>
                </w:p>
              </w:tc>
              <w:tc>
                <w:tcPr>
                  <w:tcW w:w="2896" w:type="dxa"/>
                  <w:tcBorders>
                    <w:tl2br w:val="nil"/>
                    <w:tr2bl w:val="nil"/>
                  </w:tcBorders>
                  <w:vAlign w:val="center"/>
                </w:tcPr>
                <w:p>
                  <w:pPr>
                    <w:widowControl/>
                    <w:topLinePunct/>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产污环节</w:t>
                  </w:r>
                </w:p>
              </w:tc>
              <w:tc>
                <w:tcPr>
                  <w:tcW w:w="2337" w:type="dxa"/>
                  <w:tcBorders>
                    <w:tl2br w:val="nil"/>
                    <w:tr2bl w:val="nil"/>
                  </w:tcBorders>
                  <w:vAlign w:val="center"/>
                </w:tcPr>
                <w:p>
                  <w:pPr>
                    <w:widowControl/>
                    <w:topLinePunct/>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污染因子</w:t>
                  </w:r>
                </w:p>
              </w:tc>
              <w:tc>
                <w:tcPr>
                  <w:tcW w:w="2349" w:type="dxa"/>
                  <w:tcBorders>
                    <w:tl2br w:val="nil"/>
                    <w:tr2bl w:val="nil"/>
                  </w:tcBorders>
                  <w:vAlign w:val="center"/>
                </w:tcPr>
                <w:p>
                  <w:pPr>
                    <w:widowControl/>
                    <w:topLinePunct/>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4"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废气</w:t>
                  </w:r>
                </w:p>
              </w:tc>
              <w:tc>
                <w:tcPr>
                  <w:tcW w:w="2896"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下料、焊接、打磨</w:t>
                  </w: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颗粒物</w:t>
                  </w:r>
                </w:p>
              </w:tc>
              <w:tc>
                <w:tcPr>
                  <w:tcW w:w="2349"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共2个固定工位，工位侧方采用集气罩收集后引致1套脉冲式袋式除尘器治理后，尾气通过1根15m高排气筒排放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废水</w:t>
                  </w:r>
                </w:p>
              </w:tc>
              <w:tc>
                <w:tcPr>
                  <w:tcW w:w="2896"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生活污水</w:t>
                  </w: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COD、SS、氨氮、总磷</w:t>
                  </w:r>
                </w:p>
              </w:tc>
              <w:tc>
                <w:tcPr>
                  <w:tcW w:w="2349"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hint="eastAsia" w:ascii="Times New Roman" w:hAnsi="Times New Roman" w:cs="Times New Roman"/>
                      <w:sz w:val="21"/>
                      <w:szCs w:val="21"/>
                    </w:rPr>
                    <w:t>经化粪池处理后排至污水管网并进入</w:t>
                  </w:r>
                  <w:r>
                    <w:rPr>
                      <w:rFonts w:ascii="Times New Roman" w:hAnsi="Times New Roman" w:cs="Times New Roman"/>
                      <w:sz w:val="21"/>
                      <w:szCs w:val="21"/>
                    </w:rPr>
                    <w:t>小店污水处理厂</w:t>
                  </w:r>
                  <w:r>
                    <w:rPr>
                      <w:rFonts w:hint="eastAsia" w:ascii="Times New Roman" w:hAnsi="Times New Roman" w:cs="Times New Roman"/>
                      <w:sz w:val="21"/>
                      <w:szCs w:val="21"/>
                    </w:rPr>
                    <w:t>二期进一步处理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vMerge w:val="restart"/>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固废</w:t>
                  </w:r>
                </w:p>
              </w:tc>
              <w:tc>
                <w:tcPr>
                  <w:tcW w:w="2896" w:type="dxa"/>
                  <w:vMerge w:val="restart"/>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下料、焊接、打磨</w:t>
                  </w: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金属碎屑</w:t>
                  </w:r>
                  <w:r>
                    <w:rPr>
                      <w:rFonts w:hint="eastAsia" w:ascii="Times New Roman" w:hAnsi="Times New Roman" w:cs="Times New Roman"/>
                      <w:kern w:val="0"/>
                      <w:sz w:val="21"/>
                      <w:szCs w:val="21"/>
                    </w:rPr>
                    <w:t>（桌面、地面散落粉尘）</w:t>
                  </w:r>
                </w:p>
              </w:tc>
              <w:tc>
                <w:tcPr>
                  <w:tcW w:w="2349"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采用工业级吸尘器定期清理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896"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废边角料</w:t>
                  </w:r>
                </w:p>
              </w:tc>
              <w:tc>
                <w:tcPr>
                  <w:tcW w:w="2349" w:type="dxa"/>
                  <w:vMerge w:val="restart"/>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集中收集，在</w:t>
                  </w:r>
                  <w:r>
                    <w:rPr>
                      <w:rFonts w:ascii="Times New Roman" w:hAnsi="Times New Roman" w:cs="Times New Roman"/>
                      <w:kern w:val="0"/>
                      <w:sz w:val="21"/>
                      <w:szCs w:val="21"/>
                    </w:rPr>
                    <w:t>一般固废暂存间</w:t>
                  </w:r>
                  <w:r>
                    <w:rPr>
                      <w:rFonts w:hint="eastAsia" w:ascii="Times New Roman" w:hAnsi="Times New Roman" w:cs="Times New Roman"/>
                      <w:kern w:val="0"/>
                      <w:sz w:val="21"/>
                      <w:szCs w:val="21"/>
                    </w:rPr>
                    <w:t>暂存后交由</w:t>
                  </w:r>
                  <w:r>
                    <w:rPr>
                      <w:rFonts w:ascii="Times New Roman" w:hAnsi="Times New Roman" w:cs="Times New Roman"/>
                      <w:kern w:val="0"/>
                      <w:sz w:val="21"/>
                      <w:szCs w:val="21"/>
                    </w:rPr>
                    <w:t>回收利用单位</w:t>
                  </w:r>
                  <w:r>
                    <w:rPr>
                      <w:rFonts w:hint="eastAsia" w:ascii="Times New Roman" w:hAnsi="Times New Roman" w:cs="Times New Roman"/>
                      <w:kern w:val="0"/>
                      <w:sz w:val="21"/>
                      <w:szCs w:val="21"/>
                    </w:rPr>
                    <w:t>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896"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废包装物</w:t>
                  </w:r>
                </w:p>
              </w:tc>
              <w:tc>
                <w:tcPr>
                  <w:tcW w:w="2349"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896"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除尘器收集粉尘</w:t>
                  </w:r>
                </w:p>
              </w:tc>
              <w:tc>
                <w:tcPr>
                  <w:tcW w:w="2349"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896" w:type="dxa"/>
                  <w:vMerge w:val="restart"/>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机械设备运转</w:t>
                  </w: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废液压油</w:t>
                  </w:r>
                </w:p>
              </w:tc>
              <w:tc>
                <w:tcPr>
                  <w:tcW w:w="2349" w:type="dxa"/>
                  <w:vMerge w:val="restart"/>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集中收集，在</w:t>
                  </w:r>
                  <w:r>
                    <w:rPr>
                      <w:rFonts w:ascii="Times New Roman" w:hAnsi="Times New Roman" w:cs="Times New Roman"/>
                      <w:kern w:val="0"/>
                      <w:sz w:val="21"/>
                      <w:szCs w:val="21"/>
                    </w:rPr>
                    <w:t>危废暂存间</w:t>
                  </w:r>
                  <w:r>
                    <w:rPr>
                      <w:rFonts w:hint="eastAsia" w:ascii="Times New Roman" w:hAnsi="Times New Roman" w:cs="Times New Roman"/>
                      <w:kern w:val="0"/>
                      <w:sz w:val="21"/>
                      <w:szCs w:val="21"/>
                    </w:rPr>
                    <w:t>暂存后交由</w:t>
                  </w:r>
                  <w:r>
                    <w:rPr>
                      <w:rFonts w:ascii="Times New Roman" w:hAnsi="Times New Roman" w:cs="Times New Roman"/>
                      <w:kern w:val="0"/>
                      <w:sz w:val="21"/>
                      <w:szCs w:val="21"/>
                    </w:rPr>
                    <w:t>有资质的危废处置单位</w:t>
                  </w:r>
                  <w:r>
                    <w:rPr>
                      <w:rFonts w:hint="eastAsia" w:ascii="Times New Roman" w:hAnsi="Times New Roman" w:cs="Times New Roman"/>
                      <w:kern w:val="0"/>
                      <w:sz w:val="21"/>
                      <w:szCs w:val="21"/>
                    </w:rPr>
                    <w:t>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896"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废润滑油</w:t>
                  </w:r>
                </w:p>
              </w:tc>
              <w:tc>
                <w:tcPr>
                  <w:tcW w:w="2349"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896"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废油桶</w:t>
                  </w:r>
                </w:p>
              </w:tc>
              <w:tc>
                <w:tcPr>
                  <w:tcW w:w="2349"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1004" w:type="dxa"/>
                  <w:vMerge w:val="continue"/>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p>
              </w:tc>
              <w:tc>
                <w:tcPr>
                  <w:tcW w:w="2896"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员工生活</w:t>
                  </w: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生活垃圾</w:t>
                  </w:r>
                </w:p>
              </w:tc>
              <w:tc>
                <w:tcPr>
                  <w:tcW w:w="2349"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垃圾桶</w:t>
                  </w:r>
                  <w:r>
                    <w:rPr>
                      <w:rFonts w:hint="eastAsia" w:ascii="Times New Roman" w:hAnsi="Times New Roman" w:cs="Times New Roman"/>
                      <w:kern w:val="0"/>
                      <w:sz w:val="21"/>
                      <w:szCs w:val="21"/>
                    </w:rPr>
                    <w:t>收集后由</w:t>
                  </w:r>
                  <w:r>
                    <w:rPr>
                      <w:rFonts w:ascii="Times New Roman" w:hAnsi="Times New Roman" w:cs="Times New Roman"/>
                      <w:kern w:val="0"/>
                      <w:sz w:val="21"/>
                      <w:szCs w:val="21"/>
                    </w:rPr>
                    <w:t>环卫部门</w:t>
                  </w:r>
                  <w:r>
                    <w:rPr>
                      <w:rFonts w:hint="eastAsia" w:ascii="Times New Roman" w:hAnsi="Times New Roman" w:cs="Times New Roman"/>
                      <w:kern w:val="0"/>
                      <w:sz w:val="21"/>
                      <w:szCs w:val="21"/>
                    </w:rPr>
                    <w:t>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4"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噪声</w:t>
                  </w:r>
                </w:p>
              </w:tc>
              <w:tc>
                <w:tcPr>
                  <w:tcW w:w="2896"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切割锯、等离子切割机、剪板机、折弯机、打磨机、台钻等</w:t>
                  </w:r>
                </w:p>
              </w:tc>
              <w:tc>
                <w:tcPr>
                  <w:tcW w:w="2337"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机械性噪声</w:t>
                  </w:r>
                </w:p>
              </w:tc>
              <w:tc>
                <w:tcPr>
                  <w:tcW w:w="2349" w:type="dxa"/>
                  <w:tcBorders>
                    <w:tl2br w:val="nil"/>
                    <w:tr2bl w:val="nil"/>
                  </w:tcBorders>
                  <w:vAlign w:val="center"/>
                </w:tcPr>
                <w:p>
                  <w:pPr>
                    <w:widowControl/>
                    <w:topLinePunct/>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室内布置，基础减振、厂房密闭隔音、距离衰减</w:t>
                  </w:r>
                </w:p>
              </w:tc>
            </w:tr>
          </w:tbl>
          <w:p/>
        </w:tc>
      </w:tr>
    </w:tbl>
    <w:p>
      <w:pPr>
        <w:spacing w:line="360" w:lineRule="auto"/>
        <w:rPr>
          <w:rFonts w:ascii="Times New Roman" w:hAnsi="Times New Roman" w:cs="Times New Roman"/>
          <w:b/>
          <w:sz w:val="30"/>
        </w:rPr>
        <w:sectPr>
          <w:footerReference r:id="rId3" w:type="default"/>
          <w:pgSz w:w="11906" w:h="16838"/>
          <w:pgMar w:top="1440" w:right="1800" w:bottom="1440" w:left="1520" w:header="851" w:footer="992" w:gutter="0"/>
          <w:pgNumType w:start="1"/>
          <w:cols w:space="720" w:num="1"/>
          <w:docGrid w:type="lines" w:linePitch="312" w:charSpace="0"/>
        </w:sectPr>
      </w:pPr>
    </w:p>
    <w:p>
      <w:pPr>
        <w:pStyle w:val="2"/>
        <w:rPr>
          <w:rFonts w:ascii="Times New Roman" w:hAnsi="Times New Roman" w:cs="Times New Roman"/>
          <w:b w:val="0"/>
          <w:bCs w:val="0"/>
          <w:kern w:val="2"/>
          <w:sz w:val="30"/>
        </w:rPr>
      </w:pPr>
      <w:r>
        <w:rPr>
          <w:rFonts w:hint="eastAsia" w:ascii="Times New Roman" w:hAnsi="Times New Roman" w:cs="Times New Roman"/>
          <w:b w:val="0"/>
          <w:bCs w:val="0"/>
          <w:kern w:val="2"/>
          <w:sz w:val="30"/>
        </w:rPr>
        <w:t>项目主要污染物产生及预计排放情况</w:t>
      </w:r>
    </w:p>
    <w:tbl>
      <w:tblPr>
        <w:tblStyle w:val="28"/>
        <w:tblW w:w="928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317"/>
        <w:gridCol w:w="1456"/>
        <w:gridCol w:w="2600"/>
        <w:gridCol w:w="28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01" w:type="dxa"/>
            <w:tcBorders>
              <w:tl2br w:val="single" w:color="auto" w:sz="6" w:space="0"/>
            </w:tcBorders>
          </w:tcPr>
          <w:p>
            <w:pPr>
              <w:spacing w:line="312" w:lineRule="auto"/>
              <w:jc w:val="right"/>
              <w:rPr>
                <w:rFonts w:ascii="Times New Roman" w:hAnsi="Times New Roman" w:cs="Times New Roman"/>
                <w:szCs w:val="28"/>
              </w:rPr>
            </w:pPr>
            <w:r>
              <w:rPr>
                <w:rFonts w:ascii="Times New Roman" w:hAnsi="Times New Roman" w:cs="Times New Roman"/>
                <w:szCs w:val="28"/>
              </w:rPr>
              <w:t>内容</w:t>
            </w:r>
          </w:p>
          <w:p>
            <w:pPr>
              <w:spacing w:line="312" w:lineRule="auto"/>
              <w:rPr>
                <w:rFonts w:ascii="Times New Roman" w:hAnsi="Times New Roman" w:cs="Times New Roman"/>
                <w:szCs w:val="28"/>
              </w:rPr>
            </w:pPr>
            <w:r>
              <w:rPr>
                <w:rFonts w:ascii="Times New Roman" w:hAnsi="Times New Roman" w:cs="Times New Roman"/>
                <w:szCs w:val="28"/>
              </w:rPr>
              <w:t>类型</w:t>
            </w:r>
          </w:p>
        </w:tc>
        <w:tc>
          <w:tcPr>
            <w:tcW w:w="1317"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排放源</w:t>
            </w:r>
          </w:p>
        </w:tc>
        <w:tc>
          <w:tcPr>
            <w:tcW w:w="1456"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污染物名称</w:t>
            </w:r>
          </w:p>
        </w:tc>
        <w:tc>
          <w:tcPr>
            <w:tcW w:w="2600"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处理前产生浓度及产生量(单位)</w:t>
            </w:r>
          </w:p>
        </w:tc>
        <w:tc>
          <w:tcPr>
            <w:tcW w:w="2812"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处理后</w:t>
            </w:r>
            <w:r>
              <w:rPr>
                <w:rFonts w:ascii="Times New Roman" w:hAnsi="Times New Roman" w:cs="Times New Roman"/>
                <w:szCs w:val="28"/>
              </w:rPr>
              <w:t>排放浓度及排放量(单位)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5" w:hRule="atLeast"/>
        </w:trPr>
        <w:tc>
          <w:tcPr>
            <w:tcW w:w="1101" w:type="dxa"/>
            <w:vMerge w:val="restart"/>
          </w:tcPr>
          <w:p>
            <w:pPr>
              <w:spacing w:line="312" w:lineRule="auto"/>
              <w:jc w:val="center"/>
              <w:rPr>
                <w:rFonts w:ascii="Times New Roman" w:hAnsi="Times New Roman" w:cs="Times New Roman"/>
                <w:szCs w:val="28"/>
              </w:rPr>
            </w:pPr>
            <w:r>
              <w:rPr>
                <w:rFonts w:ascii="Times New Roman" w:hAnsi="Times New Roman" w:cs="Times New Roman"/>
                <w:szCs w:val="28"/>
              </w:rPr>
              <w:t>大</w:t>
            </w:r>
          </w:p>
          <w:p>
            <w:pPr>
              <w:spacing w:line="312" w:lineRule="auto"/>
              <w:jc w:val="center"/>
              <w:rPr>
                <w:rFonts w:ascii="Times New Roman" w:hAnsi="Times New Roman" w:cs="Times New Roman"/>
                <w:szCs w:val="28"/>
              </w:rPr>
            </w:pPr>
            <w:r>
              <w:rPr>
                <w:rFonts w:ascii="Times New Roman" w:hAnsi="Times New Roman" w:cs="Times New Roman"/>
                <w:szCs w:val="28"/>
              </w:rPr>
              <w:t>气</w:t>
            </w:r>
          </w:p>
          <w:p>
            <w:pPr>
              <w:spacing w:line="312" w:lineRule="auto"/>
              <w:jc w:val="center"/>
              <w:rPr>
                <w:rFonts w:ascii="Times New Roman" w:hAnsi="Times New Roman" w:cs="Times New Roman"/>
                <w:szCs w:val="28"/>
              </w:rPr>
            </w:pPr>
            <w:r>
              <w:rPr>
                <w:rFonts w:ascii="Times New Roman" w:hAnsi="Times New Roman" w:cs="Times New Roman"/>
                <w:szCs w:val="28"/>
              </w:rPr>
              <w:t>污</w:t>
            </w:r>
          </w:p>
          <w:p>
            <w:pPr>
              <w:spacing w:line="312" w:lineRule="auto"/>
              <w:jc w:val="center"/>
              <w:rPr>
                <w:rFonts w:ascii="Times New Roman" w:hAnsi="Times New Roman" w:cs="Times New Roman"/>
                <w:szCs w:val="28"/>
              </w:rPr>
            </w:pPr>
            <w:r>
              <w:rPr>
                <w:rFonts w:ascii="Times New Roman" w:hAnsi="Times New Roman" w:cs="Times New Roman"/>
                <w:szCs w:val="28"/>
              </w:rPr>
              <w:t>染</w:t>
            </w:r>
          </w:p>
          <w:p>
            <w:pPr>
              <w:spacing w:line="312" w:lineRule="auto"/>
              <w:jc w:val="center"/>
              <w:rPr>
                <w:rFonts w:ascii="Times New Roman" w:hAnsi="Times New Roman" w:cs="Times New Roman"/>
                <w:szCs w:val="28"/>
              </w:rPr>
            </w:pPr>
            <w:r>
              <w:rPr>
                <w:rFonts w:ascii="Times New Roman" w:hAnsi="Times New Roman" w:cs="Times New Roman"/>
                <w:szCs w:val="28"/>
              </w:rPr>
              <w:t>物</w:t>
            </w:r>
          </w:p>
        </w:tc>
        <w:tc>
          <w:tcPr>
            <w:tcW w:w="1317" w:type="dxa"/>
            <w:vMerge w:val="restart"/>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下料、</w:t>
            </w:r>
            <w:r>
              <w:rPr>
                <w:rFonts w:ascii="Times New Roman" w:hAnsi="Times New Roman" w:cs="Times New Roman"/>
                <w:szCs w:val="28"/>
              </w:rPr>
              <w:t>焊接</w:t>
            </w:r>
            <w:r>
              <w:rPr>
                <w:rFonts w:hint="eastAsia" w:ascii="Times New Roman" w:hAnsi="Times New Roman" w:cs="Times New Roman"/>
                <w:szCs w:val="28"/>
              </w:rPr>
              <w:t>、机加工及打磨</w:t>
            </w:r>
          </w:p>
        </w:tc>
        <w:tc>
          <w:tcPr>
            <w:tcW w:w="1456"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有组织</w:t>
            </w:r>
          </w:p>
          <w:p>
            <w:pPr>
              <w:spacing w:line="312" w:lineRule="auto"/>
              <w:jc w:val="center"/>
              <w:rPr>
                <w:rFonts w:ascii="Times New Roman" w:hAnsi="Times New Roman" w:cs="Times New Roman"/>
                <w:szCs w:val="28"/>
              </w:rPr>
            </w:pPr>
            <w:r>
              <w:rPr>
                <w:rFonts w:ascii="Times New Roman" w:hAnsi="Times New Roman" w:cs="Times New Roman"/>
                <w:szCs w:val="28"/>
              </w:rPr>
              <w:t>颗粒物</w:t>
            </w:r>
          </w:p>
        </w:tc>
        <w:tc>
          <w:tcPr>
            <w:tcW w:w="2600" w:type="dxa"/>
            <w:vAlign w:val="center"/>
          </w:tcPr>
          <w:p>
            <w:pPr>
              <w:spacing w:line="312" w:lineRule="auto"/>
              <w:jc w:val="center"/>
              <w:rPr>
                <w:rFonts w:ascii="Times New Roman" w:hAnsi="Times New Roman" w:eastAsia="黑体" w:cs="Times New Roman"/>
              </w:rPr>
            </w:pPr>
            <w:r>
              <w:rPr>
                <w:rFonts w:ascii="Times New Roman" w:hAnsi="Times New Roman" w:eastAsia="黑体" w:cs="Times New Roman"/>
              </w:rPr>
              <w:t>0.0558 t/a，</w:t>
            </w:r>
          </w:p>
          <w:p>
            <w:pPr>
              <w:spacing w:line="312" w:lineRule="auto"/>
              <w:jc w:val="center"/>
              <w:rPr>
                <w:rFonts w:ascii="Times New Roman" w:hAnsi="Times New Roman" w:eastAsia="黑体" w:cs="Times New Roman"/>
              </w:rPr>
            </w:pPr>
            <w:r>
              <w:rPr>
                <w:rFonts w:ascii="Times New Roman" w:hAnsi="Times New Roman" w:eastAsia="黑体" w:cs="Times New Roman"/>
              </w:rPr>
              <w:t>0.093kg/h</w:t>
            </w:r>
          </w:p>
          <w:p>
            <w:pPr>
              <w:spacing w:line="312" w:lineRule="auto"/>
              <w:jc w:val="center"/>
              <w:rPr>
                <w:rFonts w:ascii="Times New Roman" w:hAnsi="Times New Roman" w:eastAsia="黑体" w:cs="Times New Roman"/>
              </w:rPr>
            </w:pPr>
            <w:r>
              <w:rPr>
                <w:rFonts w:ascii="Times New Roman" w:hAnsi="Times New Roman" w:eastAsia="黑体" w:cs="Times New Roman"/>
              </w:rPr>
              <w:t>23.25mg/m</w:t>
            </w:r>
            <w:r>
              <w:rPr>
                <w:rFonts w:ascii="Times New Roman" w:hAnsi="Times New Roman" w:eastAsia="黑体" w:cs="Times New Roman"/>
                <w:vertAlign w:val="superscript"/>
              </w:rPr>
              <w:t>3</w:t>
            </w:r>
          </w:p>
        </w:tc>
        <w:tc>
          <w:tcPr>
            <w:tcW w:w="2812"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0.00558</w:t>
            </w:r>
            <w:r>
              <w:rPr>
                <w:rFonts w:ascii="Times New Roman" w:hAnsi="Times New Roman" w:cs="Times New Roman"/>
                <w:szCs w:val="28"/>
              </w:rPr>
              <w:t>t/a</w:t>
            </w:r>
          </w:p>
          <w:p>
            <w:pPr>
              <w:spacing w:line="312" w:lineRule="auto"/>
              <w:jc w:val="center"/>
              <w:rPr>
                <w:rFonts w:ascii="Times New Roman" w:hAnsi="Times New Roman" w:cs="Times New Roman"/>
                <w:szCs w:val="28"/>
              </w:rPr>
            </w:pPr>
            <w:r>
              <w:rPr>
                <w:rFonts w:hint="eastAsia" w:ascii="Times New Roman" w:hAnsi="Times New Roman" w:cs="Times New Roman"/>
                <w:szCs w:val="28"/>
              </w:rPr>
              <w:t>0.0093</w:t>
            </w:r>
            <w:r>
              <w:rPr>
                <w:rFonts w:ascii="Times New Roman" w:hAnsi="Times New Roman" w:cs="Times New Roman"/>
                <w:szCs w:val="28"/>
              </w:rPr>
              <w:t>kg/h</w:t>
            </w:r>
          </w:p>
          <w:p>
            <w:pPr>
              <w:spacing w:line="312" w:lineRule="auto"/>
              <w:jc w:val="center"/>
              <w:rPr>
                <w:rFonts w:ascii="Times New Roman" w:hAnsi="Times New Roman" w:cs="Times New Roman"/>
                <w:szCs w:val="28"/>
              </w:rPr>
            </w:pPr>
            <w:r>
              <w:rPr>
                <w:rFonts w:hint="eastAsia" w:ascii="Times New Roman" w:hAnsi="Times New Roman" w:cs="Times New Roman"/>
                <w:szCs w:val="28"/>
              </w:rPr>
              <w:t>2.325</w:t>
            </w:r>
            <w:r>
              <w:rPr>
                <w:rFonts w:ascii="Times New Roman" w:hAnsi="Times New Roman" w:cs="Times New Roman"/>
                <w:szCs w:val="28"/>
              </w:rPr>
              <w:t>mg/m</w:t>
            </w:r>
            <w:r>
              <w:rPr>
                <w:rFonts w:ascii="Times New Roman" w:hAnsi="Times New Roman" w:cs="Times New Roman"/>
                <w:szCs w:val="28"/>
                <w:vertAlign w:val="sub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5" w:hRule="atLeast"/>
        </w:trPr>
        <w:tc>
          <w:tcPr>
            <w:tcW w:w="1101" w:type="dxa"/>
            <w:vMerge w:val="continue"/>
          </w:tcPr>
          <w:p>
            <w:pPr>
              <w:spacing w:line="312" w:lineRule="auto"/>
              <w:jc w:val="center"/>
              <w:rPr>
                <w:rFonts w:ascii="Times New Roman" w:hAnsi="Times New Roman" w:cs="Times New Roman"/>
                <w:szCs w:val="28"/>
              </w:rPr>
            </w:pPr>
          </w:p>
        </w:tc>
        <w:tc>
          <w:tcPr>
            <w:tcW w:w="1317" w:type="dxa"/>
            <w:vMerge w:val="continue"/>
            <w:vAlign w:val="center"/>
          </w:tcPr>
          <w:p>
            <w:pPr>
              <w:spacing w:line="312" w:lineRule="auto"/>
              <w:jc w:val="center"/>
              <w:rPr>
                <w:rFonts w:ascii="Times New Roman" w:hAnsi="Times New Roman" w:cs="Times New Roman"/>
                <w:szCs w:val="28"/>
              </w:rPr>
            </w:pPr>
          </w:p>
        </w:tc>
        <w:tc>
          <w:tcPr>
            <w:tcW w:w="1456"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无组织</w:t>
            </w:r>
          </w:p>
          <w:p>
            <w:pPr>
              <w:spacing w:line="312" w:lineRule="auto"/>
              <w:jc w:val="center"/>
              <w:rPr>
                <w:rFonts w:ascii="Times New Roman" w:hAnsi="Times New Roman" w:cs="Times New Roman"/>
                <w:szCs w:val="28"/>
              </w:rPr>
            </w:pPr>
            <w:r>
              <w:rPr>
                <w:rFonts w:ascii="Times New Roman" w:hAnsi="Times New Roman" w:cs="Times New Roman"/>
                <w:szCs w:val="28"/>
              </w:rPr>
              <w:t>颗粒物</w:t>
            </w:r>
          </w:p>
        </w:tc>
        <w:tc>
          <w:tcPr>
            <w:tcW w:w="2600" w:type="dxa"/>
            <w:vAlign w:val="center"/>
          </w:tcPr>
          <w:p>
            <w:pPr>
              <w:spacing w:line="312" w:lineRule="auto"/>
              <w:jc w:val="center"/>
            </w:pPr>
            <w:r>
              <w:rPr>
                <w:rFonts w:hint="eastAsia" w:ascii="Times New Roman" w:hAnsi="Times New Roman" w:eastAsia="黑体" w:cs="Times New Roman"/>
              </w:rPr>
              <w:t>0.0062</w:t>
            </w:r>
            <w:r>
              <w:rPr>
                <w:rFonts w:ascii="Times New Roman" w:hAnsi="Times New Roman" w:eastAsia="黑体" w:cs="Times New Roman"/>
              </w:rPr>
              <w:t xml:space="preserve"> t/a</w:t>
            </w:r>
          </w:p>
        </w:tc>
        <w:tc>
          <w:tcPr>
            <w:tcW w:w="2812" w:type="dxa"/>
            <w:vAlign w:val="center"/>
          </w:tcPr>
          <w:p>
            <w:pPr>
              <w:spacing w:line="312" w:lineRule="auto"/>
              <w:jc w:val="center"/>
              <w:rPr>
                <w:rFonts w:ascii="Times New Roman" w:hAnsi="Times New Roman" w:cs="Times New Roman"/>
                <w:szCs w:val="28"/>
              </w:rPr>
            </w:pPr>
            <w:r>
              <w:rPr>
                <w:rFonts w:hint="eastAsia" w:ascii="Times New Roman" w:hAnsi="Times New Roman" w:eastAsia="黑体" w:cs="Times New Roman"/>
              </w:rPr>
              <w:t>0.0062</w:t>
            </w:r>
            <w:r>
              <w:rPr>
                <w:rFonts w:ascii="Times New Roman" w:hAnsi="Times New Roman" w:eastAsia="黑体" w:cs="Times New Roman"/>
              </w:rPr>
              <w:t xml:space="preserve"> 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5" w:hRule="atLeast"/>
        </w:trPr>
        <w:tc>
          <w:tcPr>
            <w:tcW w:w="1101" w:type="dxa"/>
            <w:vMerge w:val="continue"/>
          </w:tcPr>
          <w:p>
            <w:pPr>
              <w:spacing w:line="312" w:lineRule="auto"/>
              <w:jc w:val="center"/>
              <w:rPr>
                <w:rFonts w:ascii="Times New Roman" w:hAnsi="Times New Roman" w:cs="Times New Roman"/>
                <w:szCs w:val="28"/>
              </w:rPr>
            </w:pPr>
          </w:p>
        </w:tc>
        <w:tc>
          <w:tcPr>
            <w:tcW w:w="1317"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食堂</w:t>
            </w:r>
          </w:p>
        </w:tc>
        <w:tc>
          <w:tcPr>
            <w:tcW w:w="1456"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油烟</w:t>
            </w:r>
          </w:p>
        </w:tc>
        <w:tc>
          <w:tcPr>
            <w:tcW w:w="2600"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0.01724kg/h</w:t>
            </w:r>
            <w:r>
              <w:rPr>
                <w:rFonts w:hint="eastAsia" w:ascii="Times New Roman" w:hAnsi="Times New Roman" w:cs="Times New Roman"/>
                <w:szCs w:val="28"/>
              </w:rPr>
              <w:t>，</w:t>
            </w:r>
            <w:r>
              <w:rPr>
                <w:rFonts w:ascii="Times New Roman" w:hAnsi="Times New Roman" w:cs="Times New Roman"/>
                <w:szCs w:val="28"/>
              </w:rPr>
              <w:t>6.894mg/m</w:t>
            </w:r>
            <w:r>
              <w:rPr>
                <w:rFonts w:ascii="Times New Roman" w:hAnsi="Times New Roman" w:cs="Times New Roman"/>
                <w:szCs w:val="28"/>
                <w:vertAlign w:val="superscript"/>
              </w:rPr>
              <w:t>3</w:t>
            </w:r>
          </w:p>
        </w:tc>
        <w:tc>
          <w:tcPr>
            <w:tcW w:w="2812"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0.</w:t>
            </w:r>
            <w:r>
              <w:rPr>
                <w:rFonts w:hint="eastAsia" w:ascii="Times New Roman" w:hAnsi="Times New Roman" w:cs="Times New Roman"/>
                <w:szCs w:val="28"/>
              </w:rPr>
              <w:t>62</w:t>
            </w:r>
            <w:r>
              <w:rPr>
                <w:rFonts w:ascii="Times New Roman" w:hAnsi="Times New Roman" w:cs="Times New Roman"/>
                <w:szCs w:val="28"/>
              </w:rPr>
              <w:t>mg/</w:t>
            </w:r>
            <w:r>
              <w:rPr>
                <w:rFonts w:hint="eastAsia" w:ascii="Times New Roman" w:hAnsi="Times New Roman" w:cs="Times New Roman"/>
                <w:szCs w:val="24"/>
              </w:rPr>
              <w:t>m</w:t>
            </w:r>
            <w:r>
              <w:rPr>
                <w:rFonts w:hint="eastAsia" w:ascii="Times New Roman" w:hAnsi="Times New Roman" w:cs="Times New Roman"/>
                <w:szCs w:val="24"/>
                <w:vertAlign w:val="superscript"/>
              </w:rPr>
              <w:t>3</w:t>
            </w:r>
            <w:r>
              <w:rPr>
                <w:rFonts w:hint="eastAsia" w:ascii="Times New Roman" w:hAnsi="Times New Roman" w:cs="Times New Roman"/>
                <w:sz w:val="32"/>
                <w:szCs w:val="32"/>
              </w:rPr>
              <w:t>，</w:t>
            </w:r>
            <w:r>
              <w:rPr>
                <w:rFonts w:ascii="Times New Roman" w:hAnsi="Times New Roman" w:cs="Times New Roman"/>
                <w:szCs w:val="28"/>
              </w:rPr>
              <w:t>0.</w:t>
            </w:r>
            <w:r>
              <w:rPr>
                <w:rFonts w:hint="eastAsia" w:ascii="Times New Roman" w:hAnsi="Times New Roman" w:cs="Times New Roman"/>
                <w:szCs w:val="28"/>
              </w:rPr>
              <w:t>9307</w:t>
            </w:r>
            <w:r>
              <w:rPr>
                <w:rFonts w:ascii="Times New Roman" w:hAnsi="Times New Roman" w:cs="Times New Roman"/>
                <w:szCs w:val="28"/>
              </w:rPr>
              <w:t>kg/a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9" w:hRule="atLeast"/>
        </w:trPr>
        <w:tc>
          <w:tcPr>
            <w:tcW w:w="1101" w:type="dxa"/>
            <w:vMerge w:val="restart"/>
            <w:vAlign w:val="center"/>
          </w:tcPr>
          <w:p>
            <w:pPr>
              <w:spacing w:line="312" w:lineRule="auto"/>
              <w:jc w:val="center"/>
              <w:rPr>
                <w:rFonts w:ascii="Times New Roman" w:hAnsi="Times New Roman" w:cs="Times New Roman"/>
                <w:szCs w:val="28"/>
              </w:rPr>
            </w:pPr>
            <w:r>
              <w:rPr>
                <w:rFonts w:ascii="Times New Roman" w:hAnsi="Times New Roman" w:cs="Times New Roman"/>
                <w:szCs w:val="28"/>
              </w:rPr>
              <w:t>水</w:t>
            </w:r>
          </w:p>
          <w:p>
            <w:pPr>
              <w:spacing w:line="312" w:lineRule="auto"/>
              <w:jc w:val="center"/>
              <w:rPr>
                <w:rFonts w:ascii="Times New Roman" w:hAnsi="Times New Roman" w:cs="Times New Roman"/>
                <w:szCs w:val="28"/>
              </w:rPr>
            </w:pPr>
            <w:r>
              <w:rPr>
                <w:rFonts w:ascii="Times New Roman" w:hAnsi="Times New Roman" w:cs="Times New Roman"/>
                <w:szCs w:val="28"/>
              </w:rPr>
              <w:t>污</w:t>
            </w:r>
          </w:p>
          <w:p>
            <w:pPr>
              <w:spacing w:line="312" w:lineRule="auto"/>
              <w:jc w:val="center"/>
              <w:rPr>
                <w:rFonts w:ascii="Times New Roman" w:hAnsi="Times New Roman" w:cs="Times New Roman"/>
                <w:szCs w:val="28"/>
              </w:rPr>
            </w:pPr>
            <w:r>
              <w:rPr>
                <w:rFonts w:ascii="Times New Roman" w:hAnsi="Times New Roman" w:cs="Times New Roman"/>
                <w:szCs w:val="28"/>
              </w:rPr>
              <w:t>染</w:t>
            </w:r>
          </w:p>
          <w:p>
            <w:pPr>
              <w:spacing w:line="312" w:lineRule="auto"/>
              <w:jc w:val="center"/>
              <w:rPr>
                <w:rFonts w:ascii="Times New Roman" w:hAnsi="Times New Roman" w:cs="Times New Roman"/>
                <w:szCs w:val="28"/>
              </w:rPr>
            </w:pPr>
            <w:r>
              <w:rPr>
                <w:rFonts w:ascii="Times New Roman" w:hAnsi="Times New Roman" w:cs="Times New Roman"/>
                <w:szCs w:val="28"/>
              </w:rPr>
              <w:t>物</w:t>
            </w:r>
          </w:p>
        </w:tc>
        <w:tc>
          <w:tcPr>
            <w:tcW w:w="1317" w:type="dxa"/>
            <w:vMerge w:val="restart"/>
            <w:vAlign w:val="center"/>
          </w:tcPr>
          <w:p>
            <w:pPr>
              <w:spacing w:line="312" w:lineRule="auto"/>
              <w:jc w:val="center"/>
              <w:rPr>
                <w:rFonts w:ascii="Times New Roman" w:hAnsi="Times New Roman" w:cs="Times New Roman"/>
                <w:szCs w:val="28"/>
              </w:rPr>
            </w:pPr>
            <w:r>
              <w:rPr>
                <w:rFonts w:ascii="Times New Roman" w:hAnsi="Times New Roman" w:cs="Times New Roman"/>
                <w:szCs w:val="28"/>
              </w:rPr>
              <w:t>生活</w:t>
            </w:r>
          </w:p>
          <w:p>
            <w:pPr>
              <w:spacing w:line="312" w:lineRule="auto"/>
              <w:jc w:val="center"/>
              <w:rPr>
                <w:rFonts w:ascii="Times New Roman" w:hAnsi="Times New Roman" w:cs="Times New Roman"/>
                <w:szCs w:val="28"/>
              </w:rPr>
            </w:pPr>
            <w:r>
              <w:rPr>
                <w:rFonts w:ascii="Times New Roman" w:hAnsi="Times New Roman" w:cs="Times New Roman"/>
                <w:szCs w:val="28"/>
              </w:rPr>
              <w:t>污水</w:t>
            </w:r>
          </w:p>
        </w:tc>
        <w:tc>
          <w:tcPr>
            <w:tcW w:w="1456"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废</w:t>
            </w:r>
            <w:r>
              <w:rPr>
                <w:rFonts w:ascii="Times New Roman" w:hAnsi="Times New Roman" w:cs="Times New Roman"/>
                <w:szCs w:val="28"/>
              </w:rPr>
              <w:t>水量</w:t>
            </w:r>
          </w:p>
        </w:tc>
        <w:tc>
          <w:tcPr>
            <w:tcW w:w="2600"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2</w:t>
            </w:r>
            <w:r>
              <w:rPr>
                <w:rFonts w:ascii="Times New Roman" w:hAnsi="Times New Roman" w:cs="Times New Roman"/>
                <w:szCs w:val="28"/>
              </w:rPr>
              <w:t>40 t/a</w:t>
            </w:r>
          </w:p>
        </w:tc>
        <w:tc>
          <w:tcPr>
            <w:tcW w:w="2812"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2</w:t>
            </w:r>
            <w:r>
              <w:rPr>
                <w:rFonts w:ascii="Times New Roman" w:hAnsi="Times New Roman" w:cs="Times New Roman"/>
                <w:szCs w:val="28"/>
              </w:rPr>
              <w:t>40 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1101" w:type="dxa"/>
            <w:vMerge w:val="continue"/>
          </w:tcPr>
          <w:p>
            <w:pPr>
              <w:spacing w:line="312" w:lineRule="auto"/>
              <w:jc w:val="center"/>
              <w:rPr>
                <w:rFonts w:ascii="Times New Roman" w:hAnsi="Times New Roman" w:cs="Times New Roman"/>
                <w:szCs w:val="28"/>
              </w:rPr>
            </w:pPr>
          </w:p>
        </w:tc>
        <w:tc>
          <w:tcPr>
            <w:tcW w:w="1317" w:type="dxa"/>
            <w:vMerge w:val="continue"/>
            <w:vAlign w:val="center"/>
          </w:tcPr>
          <w:p>
            <w:pPr>
              <w:spacing w:line="312" w:lineRule="auto"/>
              <w:jc w:val="center"/>
              <w:rPr>
                <w:rFonts w:ascii="Times New Roman" w:hAnsi="Times New Roman" w:cs="Times New Roman"/>
                <w:szCs w:val="28"/>
              </w:rPr>
            </w:pPr>
          </w:p>
        </w:tc>
        <w:tc>
          <w:tcPr>
            <w:tcW w:w="1456"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pH</w:t>
            </w:r>
          </w:p>
        </w:tc>
        <w:tc>
          <w:tcPr>
            <w:tcW w:w="2600"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6-9</w:t>
            </w:r>
          </w:p>
        </w:tc>
        <w:tc>
          <w:tcPr>
            <w:tcW w:w="2812"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1101" w:type="dxa"/>
            <w:vMerge w:val="continue"/>
          </w:tcPr>
          <w:p>
            <w:pPr>
              <w:spacing w:line="312" w:lineRule="auto"/>
              <w:jc w:val="center"/>
              <w:rPr>
                <w:rFonts w:ascii="Times New Roman" w:hAnsi="Times New Roman" w:cs="Times New Roman"/>
                <w:szCs w:val="28"/>
              </w:rPr>
            </w:pPr>
          </w:p>
        </w:tc>
        <w:tc>
          <w:tcPr>
            <w:tcW w:w="1317" w:type="dxa"/>
            <w:vMerge w:val="continue"/>
            <w:vAlign w:val="center"/>
          </w:tcPr>
          <w:p>
            <w:pPr>
              <w:spacing w:line="312" w:lineRule="auto"/>
              <w:jc w:val="center"/>
              <w:rPr>
                <w:rFonts w:ascii="Times New Roman" w:hAnsi="Times New Roman" w:cs="Times New Roman"/>
                <w:szCs w:val="28"/>
              </w:rPr>
            </w:pPr>
          </w:p>
        </w:tc>
        <w:tc>
          <w:tcPr>
            <w:tcW w:w="1456"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SS</w:t>
            </w:r>
          </w:p>
        </w:tc>
        <w:tc>
          <w:tcPr>
            <w:tcW w:w="2600"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kern w:val="0"/>
                <w:szCs w:val="28"/>
              </w:rPr>
              <w:t>250</w:t>
            </w:r>
            <w:r>
              <w:rPr>
                <w:rFonts w:ascii="Times New Roman" w:hAnsi="Times New Roman" w:cs="Times New Roman"/>
                <w:kern w:val="0"/>
                <w:szCs w:val="28"/>
              </w:rPr>
              <w:t xml:space="preserve"> mg/L，0.0</w:t>
            </w:r>
            <w:r>
              <w:rPr>
                <w:rFonts w:hint="eastAsia" w:ascii="Times New Roman" w:hAnsi="Times New Roman" w:cs="Times New Roman"/>
                <w:kern w:val="0"/>
                <w:szCs w:val="28"/>
              </w:rPr>
              <w:t>6</w:t>
            </w:r>
            <w:r>
              <w:rPr>
                <w:rFonts w:ascii="Times New Roman" w:hAnsi="Times New Roman" w:cs="Times New Roman"/>
                <w:szCs w:val="28"/>
              </w:rPr>
              <w:t>t/a</w:t>
            </w:r>
          </w:p>
        </w:tc>
        <w:tc>
          <w:tcPr>
            <w:tcW w:w="2812"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kern w:val="0"/>
                <w:szCs w:val="28"/>
              </w:rPr>
              <w:t>10</w:t>
            </w:r>
            <w:r>
              <w:rPr>
                <w:rFonts w:ascii="Times New Roman" w:hAnsi="Times New Roman" w:cs="Times New Roman"/>
                <w:kern w:val="0"/>
                <w:szCs w:val="28"/>
              </w:rPr>
              <w:t xml:space="preserve"> mg/L，0.0</w:t>
            </w:r>
            <w:r>
              <w:rPr>
                <w:rFonts w:hint="eastAsia" w:ascii="Times New Roman" w:hAnsi="Times New Roman" w:cs="Times New Roman"/>
                <w:kern w:val="0"/>
                <w:szCs w:val="28"/>
              </w:rPr>
              <w:t>024</w:t>
            </w:r>
            <w:r>
              <w:rPr>
                <w:rFonts w:ascii="Times New Roman" w:hAnsi="Times New Roman" w:cs="Times New Roman"/>
                <w:szCs w:val="28"/>
              </w:rPr>
              <w:t xml:space="preserve"> 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1101" w:type="dxa"/>
            <w:vMerge w:val="continue"/>
          </w:tcPr>
          <w:p>
            <w:pPr>
              <w:spacing w:line="312" w:lineRule="auto"/>
              <w:jc w:val="center"/>
              <w:rPr>
                <w:rFonts w:ascii="Times New Roman" w:hAnsi="Times New Roman" w:cs="Times New Roman"/>
                <w:szCs w:val="28"/>
              </w:rPr>
            </w:pPr>
          </w:p>
        </w:tc>
        <w:tc>
          <w:tcPr>
            <w:tcW w:w="1317" w:type="dxa"/>
            <w:vMerge w:val="continue"/>
            <w:vAlign w:val="center"/>
          </w:tcPr>
          <w:p>
            <w:pPr>
              <w:spacing w:line="312" w:lineRule="auto"/>
              <w:jc w:val="center"/>
              <w:rPr>
                <w:rFonts w:ascii="Times New Roman" w:hAnsi="Times New Roman" w:cs="Times New Roman"/>
                <w:szCs w:val="28"/>
              </w:rPr>
            </w:pPr>
          </w:p>
        </w:tc>
        <w:tc>
          <w:tcPr>
            <w:tcW w:w="1456"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COD</w:t>
            </w:r>
          </w:p>
        </w:tc>
        <w:tc>
          <w:tcPr>
            <w:tcW w:w="2600" w:type="dxa"/>
            <w:vAlign w:val="center"/>
          </w:tcPr>
          <w:p>
            <w:pPr>
              <w:spacing w:line="312" w:lineRule="auto"/>
              <w:jc w:val="center"/>
              <w:rPr>
                <w:rFonts w:ascii="Times New Roman" w:hAnsi="Times New Roman" w:cs="Times New Roman"/>
                <w:szCs w:val="28"/>
              </w:rPr>
            </w:pPr>
            <w:r>
              <w:rPr>
                <w:rFonts w:ascii="Times New Roman" w:hAnsi="Times New Roman" w:cs="Times New Roman"/>
                <w:kern w:val="0"/>
                <w:szCs w:val="28"/>
              </w:rPr>
              <w:t>3</w:t>
            </w:r>
            <w:r>
              <w:rPr>
                <w:rFonts w:hint="eastAsia" w:ascii="Times New Roman" w:hAnsi="Times New Roman" w:cs="Times New Roman"/>
                <w:kern w:val="0"/>
                <w:szCs w:val="28"/>
              </w:rPr>
              <w:t>0</w:t>
            </w:r>
            <w:r>
              <w:rPr>
                <w:rFonts w:ascii="Times New Roman" w:hAnsi="Times New Roman" w:cs="Times New Roman"/>
                <w:kern w:val="0"/>
                <w:szCs w:val="28"/>
              </w:rPr>
              <w:t>0 mg/L，0.0</w:t>
            </w:r>
            <w:r>
              <w:rPr>
                <w:rFonts w:hint="eastAsia" w:ascii="Times New Roman" w:hAnsi="Times New Roman" w:cs="Times New Roman"/>
                <w:kern w:val="0"/>
                <w:szCs w:val="28"/>
              </w:rPr>
              <w:t>72</w:t>
            </w:r>
            <w:r>
              <w:rPr>
                <w:rFonts w:ascii="Times New Roman" w:hAnsi="Times New Roman" w:cs="Times New Roman"/>
                <w:szCs w:val="28"/>
              </w:rPr>
              <w:t xml:space="preserve"> t/a</w:t>
            </w:r>
          </w:p>
        </w:tc>
        <w:tc>
          <w:tcPr>
            <w:tcW w:w="2812"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kern w:val="0"/>
                <w:szCs w:val="28"/>
              </w:rPr>
              <w:t>4</w:t>
            </w:r>
            <w:r>
              <w:rPr>
                <w:rFonts w:ascii="Times New Roman" w:hAnsi="Times New Roman" w:cs="Times New Roman"/>
                <w:kern w:val="0"/>
                <w:szCs w:val="28"/>
              </w:rPr>
              <w:t>0 mg/L，0.0</w:t>
            </w:r>
            <w:r>
              <w:rPr>
                <w:rFonts w:hint="eastAsia" w:ascii="Times New Roman" w:hAnsi="Times New Roman" w:cs="Times New Roman"/>
                <w:kern w:val="0"/>
                <w:szCs w:val="28"/>
              </w:rPr>
              <w:t>096</w:t>
            </w:r>
            <w:r>
              <w:rPr>
                <w:rFonts w:ascii="Times New Roman" w:hAnsi="Times New Roman" w:cs="Times New Roman"/>
                <w:szCs w:val="28"/>
              </w:rPr>
              <w:t xml:space="preserve"> 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1101" w:type="dxa"/>
            <w:vMerge w:val="continue"/>
          </w:tcPr>
          <w:p>
            <w:pPr>
              <w:spacing w:line="312" w:lineRule="auto"/>
              <w:jc w:val="center"/>
              <w:rPr>
                <w:rFonts w:ascii="Times New Roman" w:hAnsi="Times New Roman" w:cs="Times New Roman"/>
                <w:szCs w:val="28"/>
              </w:rPr>
            </w:pPr>
          </w:p>
        </w:tc>
        <w:tc>
          <w:tcPr>
            <w:tcW w:w="1317" w:type="dxa"/>
            <w:vMerge w:val="continue"/>
            <w:vAlign w:val="center"/>
          </w:tcPr>
          <w:p>
            <w:pPr>
              <w:spacing w:line="312" w:lineRule="auto"/>
              <w:jc w:val="center"/>
              <w:rPr>
                <w:rFonts w:ascii="Times New Roman" w:hAnsi="Times New Roman" w:cs="Times New Roman"/>
                <w:szCs w:val="28"/>
              </w:rPr>
            </w:pPr>
          </w:p>
        </w:tc>
        <w:tc>
          <w:tcPr>
            <w:tcW w:w="1456"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szCs w:val="28"/>
              </w:rPr>
              <w:t>TP</w:t>
            </w:r>
          </w:p>
        </w:tc>
        <w:tc>
          <w:tcPr>
            <w:tcW w:w="2600"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kern w:val="0"/>
                <w:szCs w:val="28"/>
              </w:rPr>
              <w:t>2</w:t>
            </w:r>
            <w:r>
              <w:rPr>
                <w:rFonts w:ascii="Times New Roman" w:hAnsi="Times New Roman" w:cs="Times New Roman"/>
                <w:kern w:val="0"/>
                <w:szCs w:val="28"/>
              </w:rPr>
              <w:t xml:space="preserve"> mg/L，0.0</w:t>
            </w:r>
            <w:r>
              <w:rPr>
                <w:rFonts w:hint="eastAsia" w:ascii="Times New Roman" w:hAnsi="Times New Roman" w:cs="Times New Roman"/>
                <w:kern w:val="0"/>
                <w:szCs w:val="28"/>
              </w:rPr>
              <w:t>0048</w:t>
            </w:r>
            <w:r>
              <w:rPr>
                <w:rFonts w:ascii="Times New Roman" w:hAnsi="Times New Roman" w:cs="Times New Roman"/>
                <w:szCs w:val="28"/>
              </w:rPr>
              <w:t xml:space="preserve"> t/</w:t>
            </w:r>
            <w:r>
              <w:rPr>
                <w:rFonts w:hint="eastAsia" w:ascii="Times New Roman" w:hAnsi="Times New Roman" w:cs="Times New Roman"/>
                <w:szCs w:val="28"/>
              </w:rPr>
              <w:t>a</w:t>
            </w:r>
          </w:p>
        </w:tc>
        <w:tc>
          <w:tcPr>
            <w:tcW w:w="2812"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kern w:val="0"/>
                <w:szCs w:val="28"/>
              </w:rPr>
              <w:t>0.4</w:t>
            </w:r>
            <w:r>
              <w:rPr>
                <w:rFonts w:ascii="Times New Roman" w:hAnsi="Times New Roman" w:cs="Times New Roman"/>
                <w:kern w:val="0"/>
                <w:szCs w:val="28"/>
              </w:rPr>
              <w:t xml:space="preserve"> mg/L，0.0</w:t>
            </w:r>
            <w:r>
              <w:rPr>
                <w:rFonts w:hint="eastAsia" w:ascii="Times New Roman" w:hAnsi="Times New Roman" w:cs="Times New Roman"/>
                <w:kern w:val="0"/>
                <w:szCs w:val="28"/>
              </w:rPr>
              <w:t>00096</w:t>
            </w:r>
            <w:r>
              <w:rPr>
                <w:rFonts w:ascii="Times New Roman" w:hAnsi="Times New Roman" w:cs="Times New Roman"/>
                <w:szCs w:val="28"/>
              </w:rPr>
              <w:t xml:space="preserve"> t/</w:t>
            </w:r>
            <w:r>
              <w:rPr>
                <w:rFonts w:hint="eastAsia" w:ascii="Times New Roman" w:hAnsi="Times New Roman" w:cs="Times New Roman"/>
                <w:szCs w:val="28"/>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1101" w:type="dxa"/>
            <w:vMerge w:val="continue"/>
          </w:tcPr>
          <w:p>
            <w:pPr>
              <w:spacing w:line="312" w:lineRule="auto"/>
              <w:jc w:val="center"/>
              <w:rPr>
                <w:rFonts w:ascii="Times New Roman" w:hAnsi="Times New Roman" w:cs="Times New Roman"/>
                <w:szCs w:val="28"/>
              </w:rPr>
            </w:pPr>
          </w:p>
        </w:tc>
        <w:tc>
          <w:tcPr>
            <w:tcW w:w="1317" w:type="dxa"/>
            <w:vMerge w:val="continue"/>
            <w:vAlign w:val="center"/>
          </w:tcPr>
          <w:p>
            <w:pPr>
              <w:spacing w:line="312" w:lineRule="auto"/>
              <w:jc w:val="center"/>
              <w:rPr>
                <w:rFonts w:ascii="Times New Roman" w:hAnsi="Times New Roman" w:cs="Times New Roman"/>
                <w:szCs w:val="28"/>
              </w:rPr>
            </w:pPr>
          </w:p>
        </w:tc>
        <w:tc>
          <w:tcPr>
            <w:tcW w:w="1456" w:type="dxa"/>
            <w:vAlign w:val="center"/>
          </w:tcPr>
          <w:p>
            <w:pPr>
              <w:spacing w:line="312" w:lineRule="auto"/>
              <w:jc w:val="center"/>
              <w:rPr>
                <w:rFonts w:ascii="Times New Roman" w:hAnsi="Times New Roman" w:cs="Times New Roman"/>
                <w:szCs w:val="28"/>
              </w:rPr>
            </w:pPr>
            <w:r>
              <w:rPr>
                <w:rFonts w:ascii="Times New Roman" w:hAnsi="Times New Roman" w:cs="Times New Roman"/>
                <w:szCs w:val="28"/>
              </w:rPr>
              <w:t>氨氮</w:t>
            </w:r>
          </w:p>
        </w:tc>
        <w:tc>
          <w:tcPr>
            <w:tcW w:w="2600" w:type="dxa"/>
            <w:vAlign w:val="center"/>
          </w:tcPr>
          <w:p>
            <w:pPr>
              <w:spacing w:line="312" w:lineRule="auto"/>
              <w:jc w:val="center"/>
              <w:rPr>
                <w:rFonts w:ascii="Times New Roman" w:hAnsi="Times New Roman" w:cs="Times New Roman"/>
                <w:szCs w:val="28"/>
              </w:rPr>
            </w:pPr>
            <w:r>
              <w:rPr>
                <w:rFonts w:ascii="Times New Roman" w:hAnsi="Times New Roman" w:cs="Times New Roman"/>
                <w:kern w:val="0"/>
                <w:szCs w:val="28"/>
              </w:rPr>
              <w:t>2</w:t>
            </w:r>
            <w:r>
              <w:rPr>
                <w:rFonts w:hint="eastAsia" w:ascii="Times New Roman" w:hAnsi="Times New Roman" w:cs="Times New Roman"/>
                <w:kern w:val="0"/>
                <w:szCs w:val="28"/>
              </w:rPr>
              <w:t>5</w:t>
            </w:r>
            <w:r>
              <w:rPr>
                <w:rFonts w:ascii="Times New Roman" w:hAnsi="Times New Roman" w:cs="Times New Roman"/>
                <w:kern w:val="0"/>
                <w:szCs w:val="28"/>
              </w:rPr>
              <w:t xml:space="preserve"> mg/L，0.0</w:t>
            </w:r>
            <w:r>
              <w:rPr>
                <w:rFonts w:hint="eastAsia" w:ascii="Times New Roman" w:hAnsi="Times New Roman" w:cs="Times New Roman"/>
                <w:kern w:val="0"/>
                <w:szCs w:val="28"/>
              </w:rPr>
              <w:t>06</w:t>
            </w:r>
            <w:r>
              <w:rPr>
                <w:rFonts w:ascii="Times New Roman" w:hAnsi="Times New Roman" w:cs="Times New Roman"/>
                <w:szCs w:val="28"/>
              </w:rPr>
              <w:t xml:space="preserve"> t/a</w:t>
            </w:r>
          </w:p>
        </w:tc>
        <w:tc>
          <w:tcPr>
            <w:tcW w:w="2812" w:type="dxa"/>
            <w:vAlign w:val="center"/>
          </w:tcPr>
          <w:p>
            <w:pPr>
              <w:spacing w:line="312" w:lineRule="auto"/>
              <w:jc w:val="center"/>
              <w:rPr>
                <w:rFonts w:ascii="Times New Roman" w:hAnsi="Times New Roman" w:cs="Times New Roman"/>
                <w:szCs w:val="28"/>
              </w:rPr>
            </w:pPr>
            <w:r>
              <w:rPr>
                <w:rFonts w:hint="eastAsia" w:ascii="Times New Roman" w:hAnsi="Times New Roman" w:cs="Times New Roman"/>
                <w:kern w:val="0"/>
                <w:szCs w:val="28"/>
              </w:rPr>
              <w:t xml:space="preserve">2 </w:t>
            </w:r>
            <w:r>
              <w:rPr>
                <w:rFonts w:ascii="Times New Roman" w:hAnsi="Times New Roman" w:cs="Times New Roman"/>
                <w:kern w:val="0"/>
                <w:szCs w:val="28"/>
              </w:rPr>
              <w:t>mg/L，</w:t>
            </w:r>
            <w:r>
              <w:rPr>
                <w:rFonts w:hint="eastAsia" w:ascii="Times New Roman" w:hAnsi="Times New Roman" w:cs="Times New Roman"/>
                <w:kern w:val="0"/>
                <w:szCs w:val="28"/>
              </w:rPr>
              <w:t>0.00048</w:t>
            </w:r>
            <w:r>
              <w:rPr>
                <w:rFonts w:ascii="Times New Roman" w:hAnsi="Times New Roman" w:cs="Times New Roman"/>
                <w:szCs w:val="28"/>
              </w:rPr>
              <w:t xml:space="preserve"> 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1101" w:type="dxa"/>
            <w:vMerge w:val="restart"/>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固</w:t>
            </w:r>
          </w:p>
          <w:p>
            <w:pPr>
              <w:spacing w:line="312" w:lineRule="auto"/>
              <w:jc w:val="center"/>
              <w:rPr>
                <w:rFonts w:ascii="Times New Roman" w:hAnsi="Times New Roman" w:cs="Times New Roman"/>
                <w:kern w:val="0"/>
                <w:szCs w:val="28"/>
              </w:rPr>
            </w:pPr>
            <w:r>
              <w:rPr>
                <w:rFonts w:ascii="Times New Roman" w:hAnsi="Times New Roman" w:cs="Times New Roman"/>
                <w:kern w:val="0"/>
                <w:szCs w:val="28"/>
              </w:rPr>
              <w:t>体</w:t>
            </w:r>
          </w:p>
          <w:p>
            <w:pPr>
              <w:spacing w:line="312" w:lineRule="auto"/>
              <w:jc w:val="center"/>
              <w:rPr>
                <w:rFonts w:ascii="Times New Roman" w:hAnsi="Times New Roman" w:cs="Times New Roman"/>
                <w:kern w:val="0"/>
                <w:szCs w:val="28"/>
              </w:rPr>
            </w:pPr>
            <w:r>
              <w:rPr>
                <w:rFonts w:ascii="Times New Roman" w:hAnsi="Times New Roman" w:cs="Times New Roman"/>
                <w:kern w:val="0"/>
                <w:szCs w:val="28"/>
              </w:rPr>
              <w:t>废</w:t>
            </w:r>
          </w:p>
          <w:p>
            <w:pPr>
              <w:spacing w:line="312" w:lineRule="auto"/>
              <w:jc w:val="center"/>
              <w:rPr>
                <w:rFonts w:ascii="Times New Roman" w:hAnsi="Times New Roman" w:cs="Times New Roman"/>
                <w:kern w:val="0"/>
                <w:szCs w:val="28"/>
              </w:rPr>
            </w:pPr>
            <w:r>
              <w:rPr>
                <w:rFonts w:ascii="Times New Roman" w:hAnsi="Times New Roman" w:cs="Times New Roman"/>
                <w:kern w:val="0"/>
                <w:szCs w:val="28"/>
              </w:rPr>
              <w:t>物</w:t>
            </w:r>
          </w:p>
        </w:tc>
        <w:tc>
          <w:tcPr>
            <w:tcW w:w="1317" w:type="dxa"/>
            <w:vMerge w:val="restart"/>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下料、焊接打磨、</w:t>
            </w:r>
          </w:p>
          <w:p>
            <w:pPr>
              <w:spacing w:line="312" w:lineRule="auto"/>
              <w:jc w:val="center"/>
              <w:rPr>
                <w:rFonts w:ascii="Times New Roman" w:hAnsi="Times New Roman" w:cs="Times New Roman"/>
                <w:kern w:val="0"/>
                <w:szCs w:val="28"/>
              </w:rPr>
            </w:pPr>
            <w:r>
              <w:rPr>
                <w:rFonts w:ascii="Times New Roman" w:hAnsi="Times New Roman" w:cs="Times New Roman"/>
                <w:kern w:val="0"/>
                <w:szCs w:val="28"/>
              </w:rPr>
              <w:t>机加工</w:t>
            </w:r>
            <w:r>
              <w:rPr>
                <w:rFonts w:hint="eastAsia" w:ascii="Times New Roman" w:hAnsi="Times New Roman" w:cs="Times New Roman"/>
                <w:kern w:val="0"/>
                <w:szCs w:val="28"/>
              </w:rPr>
              <w:t>、组装</w:t>
            </w:r>
          </w:p>
        </w:tc>
        <w:tc>
          <w:tcPr>
            <w:tcW w:w="1456"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金属碎屑</w:t>
            </w:r>
            <w:r>
              <w:rPr>
                <w:rFonts w:hint="eastAsia" w:ascii="Times New Roman" w:hAnsi="Times New Roman" w:cs="Times New Roman"/>
                <w:kern w:val="0"/>
                <w:szCs w:val="28"/>
              </w:rPr>
              <w:t>（桌面、地面散落粉尘）</w:t>
            </w:r>
          </w:p>
        </w:tc>
        <w:tc>
          <w:tcPr>
            <w:tcW w:w="2600"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0.05</w:t>
            </w:r>
            <w:r>
              <w:rPr>
                <w:rFonts w:ascii="Times New Roman" w:hAnsi="Times New Roman" w:cs="Times New Roman"/>
                <w:sz w:val="24"/>
                <w:szCs w:val="24"/>
              </w:rPr>
              <w:t xml:space="preserve"> t/a</w:t>
            </w:r>
          </w:p>
        </w:tc>
        <w:tc>
          <w:tcPr>
            <w:tcW w:w="2812"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1101" w:type="dxa"/>
            <w:vMerge w:val="continue"/>
          </w:tcPr>
          <w:p>
            <w:pPr>
              <w:spacing w:line="312" w:lineRule="auto"/>
              <w:jc w:val="center"/>
              <w:rPr>
                <w:rFonts w:ascii="Times New Roman" w:hAnsi="Times New Roman" w:cs="Times New Roman"/>
                <w:kern w:val="0"/>
                <w:szCs w:val="28"/>
              </w:rPr>
            </w:pPr>
          </w:p>
        </w:tc>
        <w:tc>
          <w:tcPr>
            <w:tcW w:w="1317" w:type="dxa"/>
            <w:vMerge w:val="continue"/>
            <w:vAlign w:val="center"/>
          </w:tcPr>
          <w:p>
            <w:pPr>
              <w:spacing w:line="312" w:lineRule="auto"/>
              <w:jc w:val="center"/>
              <w:rPr>
                <w:rFonts w:ascii="Times New Roman" w:hAnsi="Times New Roman" w:cs="Times New Roman"/>
                <w:kern w:val="0"/>
                <w:szCs w:val="28"/>
              </w:rPr>
            </w:pPr>
          </w:p>
        </w:tc>
        <w:tc>
          <w:tcPr>
            <w:tcW w:w="1456"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废边角料</w:t>
            </w:r>
          </w:p>
        </w:tc>
        <w:tc>
          <w:tcPr>
            <w:tcW w:w="2600"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2</w:t>
            </w:r>
            <w:r>
              <w:rPr>
                <w:rFonts w:ascii="Times New Roman" w:hAnsi="Times New Roman" w:cs="Times New Roman"/>
                <w:sz w:val="24"/>
                <w:szCs w:val="24"/>
              </w:rPr>
              <w:t xml:space="preserve"> t/a</w:t>
            </w:r>
          </w:p>
        </w:tc>
        <w:tc>
          <w:tcPr>
            <w:tcW w:w="2812"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1101" w:type="dxa"/>
            <w:vMerge w:val="continue"/>
          </w:tcPr>
          <w:p>
            <w:pPr>
              <w:spacing w:line="312" w:lineRule="auto"/>
              <w:jc w:val="center"/>
              <w:rPr>
                <w:rFonts w:ascii="Times New Roman" w:hAnsi="Times New Roman" w:cs="Times New Roman"/>
                <w:kern w:val="0"/>
                <w:szCs w:val="28"/>
              </w:rPr>
            </w:pPr>
          </w:p>
        </w:tc>
        <w:tc>
          <w:tcPr>
            <w:tcW w:w="1317" w:type="dxa"/>
            <w:vMerge w:val="continue"/>
            <w:vAlign w:val="center"/>
          </w:tcPr>
          <w:p>
            <w:pPr>
              <w:spacing w:line="312" w:lineRule="auto"/>
              <w:jc w:val="center"/>
              <w:rPr>
                <w:rFonts w:ascii="Times New Roman" w:hAnsi="Times New Roman" w:cs="Times New Roman"/>
                <w:kern w:val="0"/>
                <w:szCs w:val="28"/>
              </w:rPr>
            </w:pPr>
          </w:p>
        </w:tc>
        <w:tc>
          <w:tcPr>
            <w:tcW w:w="1456"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废包装物</w:t>
            </w:r>
          </w:p>
        </w:tc>
        <w:tc>
          <w:tcPr>
            <w:tcW w:w="2600"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1</w:t>
            </w:r>
            <w:r>
              <w:rPr>
                <w:rFonts w:ascii="Times New Roman" w:hAnsi="Times New Roman" w:cs="Times New Roman"/>
                <w:sz w:val="24"/>
                <w:szCs w:val="24"/>
              </w:rPr>
              <w:t xml:space="preserve"> t/a</w:t>
            </w:r>
          </w:p>
        </w:tc>
        <w:tc>
          <w:tcPr>
            <w:tcW w:w="2812"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1101" w:type="dxa"/>
            <w:vMerge w:val="continue"/>
          </w:tcPr>
          <w:p>
            <w:pPr>
              <w:spacing w:line="312" w:lineRule="auto"/>
              <w:jc w:val="center"/>
              <w:rPr>
                <w:rFonts w:ascii="Times New Roman" w:hAnsi="Times New Roman" w:cs="Times New Roman"/>
                <w:kern w:val="0"/>
                <w:szCs w:val="28"/>
              </w:rPr>
            </w:pPr>
          </w:p>
        </w:tc>
        <w:tc>
          <w:tcPr>
            <w:tcW w:w="1317" w:type="dxa"/>
            <w:vMerge w:val="continue"/>
            <w:vAlign w:val="center"/>
          </w:tcPr>
          <w:p>
            <w:pPr>
              <w:spacing w:line="312" w:lineRule="auto"/>
              <w:jc w:val="center"/>
              <w:rPr>
                <w:rFonts w:ascii="Times New Roman" w:hAnsi="Times New Roman" w:cs="Times New Roman"/>
                <w:kern w:val="0"/>
                <w:szCs w:val="28"/>
              </w:rPr>
            </w:pPr>
          </w:p>
        </w:tc>
        <w:tc>
          <w:tcPr>
            <w:tcW w:w="1456"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除尘器收集粉尘</w:t>
            </w:r>
          </w:p>
        </w:tc>
        <w:tc>
          <w:tcPr>
            <w:tcW w:w="2600"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0.045</w:t>
            </w:r>
            <w:r>
              <w:rPr>
                <w:rFonts w:ascii="Times New Roman" w:hAnsi="Times New Roman" w:cs="Times New Roman"/>
                <w:sz w:val="24"/>
                <w:szCs w:val="24"/>
              </w:rPr>
              <w:t xml:space="preserve"> t/a</w:t>
            </w:r>
          </w:p>
        </w:tc>
        <w:tc>
          <w:tcPr>
            <w:tcW w:w="2812"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 w:hRule="atLeast"/>
        </w:trPr>
        <w:tc>
          <w:tcPr>
            <w:tcW w:w="1101" w:type="dxa"/>
            <w:vMerge w:val="continue"/>
          </w:tcPr>
          <w:p>
            <w:pPr>
              <w:spacing w:line="312" w:lineRule="auto"/>
              <w:jc w:val="center"/>
              <w:rPr>
                <w:rFonts w:ascii="Times New Roman" w:hAnsi="Times New Roman" w:cs="Times New Roman"/>
                <w:kern w:val="0"/>
                <w:szCs w:val="28"/>
              </w:rPr>
            </w:pPr>
          </w:p>
        </w:tc>
        <w:tc>
          <w:tcPr>
            <w:tcW w:w="1317" w:type="dxa"/>
            <w:vMerge w:val="continue"/>
            <w:vAlign w:val="center"/>
          </w:tcPr>
          <w:p>
            <w:pPr>
              <w:spacing w:line="312" w:lineRule="auto"/>
              <w:jc w:val="center"/>
              <w:rPr>
                <w:rFonts w:ascii="Times New Roman" w:hAnsi="Times New Roman" w:cs="Times New Roman"/>
                <w:kern w:val="0"/>
                <w:szCs w:val="28"/>
              </w:rPr>
            </w:pPr>
          </w:p>
        </w:tc>
        <w:tc>
          <w:tcPr>
            <w:tcW w:w="1456" w:type="dxa"/>
            <w:vAlign w:val="center"/>
          </w:tcPr>
          <w:p>
            <w:pPr>
              <w:widowControl/>
              <w:topLinePunct/>
              <w:adjustRightInd w:val="0"/>
              <w:snapToGrid w:val="0"/>
              <w:spacing w:line="280" w:lineRule="exact"/>
              <w:jc w:val="center"/>
              <w:rPr>
                <w:rFonts w:ascii="Times New Roman" w:hAnsi="Times New Roman" w:cs="Times New Roman"/>
                <w:kern w:val="0"/>
                <w:szCs w:val="28"/>
              </w:rPr>
            </w:pPr>
            <w:r>
              <w:rPr>
                <w:rFonts w:ascii="Times New Roman" w:hAnsi="Times New Roman" w:cs="Times New Roman"/>
                <w:kern w:val="0"/>
                <w:szCs w:val="28"/>
              </w:rPr>
              <w:t>废液压油</w:t>
            </w:r>
          </w:p>
        </w:tc>
        <w:tc>
          <w:tcPr>
            <w:tcW w:w="2600"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0.05</w:t>
            </w:r>
            <w:r>
              <w:rPr>
                <w:rFonts w:ascii="Times New Roman" w:hAnsi="Times New Roman" w:cs="Times New Roman"/>
                <w:sz w:val="24"/>
                <w:szCs w:val="24"/>
              </w:rPr>
              <w:t xml:space="preserve"> t/a</w:t>
            </w:r>
          </w:p>
        </w:tc>
        <w:tc>
          <w:tcPr>
            <w:tcW w:w="2812"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 w:hRule="atLeast"/>
        </w:trPr>
        <w:tc>
          <w:tcPr>
            <w:tcW w:w="1101" w:type="dxa"/>
            <w:vMerge w:val="continue"/>
          </w:tcPr>
          <w:p>
            <w:pPr>
              <w:spacing w:line="312" w:lineRule="auto"/>
              <w:jc w:val="center"/>
              <w:rPr>
                <w:rFonts w:ascii="Times New Roman" w:hAnsi="Times New Roman" w:cs="Times New Roman"/>
                <w:kern w:val="0"/>
                <w:szCs w:val="28"/>
              </w:rPr>
            </w:pPr>
          </w:p>
        </w:tc>
        <w:tc>
          <w:tcPr>
            <w:tcW w:w="1317" w:type="dxa"/>
            <w:vMerge w:val="continue"/>
            <w:vAlign w:val="center"/>
          </w:tcPr>
          <w:p>
            <w:pPr>
              <w:spacing w:line="312" w:lineRule="auto"/>
              <w:jc w:val="center"/>
              <w:rPr>
                <w:rFonts w:ascii="Times New Roman" w:hAnsi="Times New Roman" w:cs="Times New Roman"/>
                <w:kern w:val="0"/>
                <w:szCs w:val="28"/>
              </w:rPr>
            </w:pPr>
          </w:p>
        </w:tc>
        <w:tc>
          <w:tcPr>
            <w:tcW w:w="1456" w:type="dxa"/>
            <w:vAlign w:val="center"/>
          </w:tcPr>
          <w:p>
            <w:pPr>
              <w:widowControl/>
              <w:topLinePunct/>
              <w:adjustRightInd w:val="0"/>
              <w:snapToGrid w:val="0"/>
              <w:spacing w:line="280" w:lineRule="exact"/>
              <w:jc w:val="center"/>
              <w:rPr>
                <w:rFonts w:ascii="Times New Roman" w:hAnsi="Times New Roman" w:cs="Times New Roman"/>
                <w:kern w:val="0"/>
                <w:szCs w:val="28"/>
              </w:rPr>
            </w:pPr>
            <w:r>
              <w:rPr>
                <w:rFonts w:ascii="Times New Roman" w:hAnsi="Times New Roman" w:cs="Times New Roman"/>
                <w:kern w:val="0"/>
                <w:szCs w:val="28"/>
              </w:rPr>
              <w:t>废润滑油</w:t>
            </w:r>
          </w:p>
        </w:tc>
        <w:tc>
          <w:tcPr>
            <w:tcW w:w="2600"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0.03</w:t>
            </w:r>
            <w:r>
              <w:rPr>
                <w:rFonts w:ascii="Times New Roman" w:hAnsi="Times New Roman" w:cs="Times New Roman"/>
                <w:sz w:val="24"/>
                <w:szCs w:val="24"/>
              </w:rPr>
              <w:t xml:space="preserve"> t/a</w:t>
            </w:r>
          </w:p>
        </w:tc>
        <w:tc>
          <w:tcPr>
            <w:tcW w:w="2812"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 w:hRule="atLeast"/>
        </w:trPr>
        <w:tc>
          <w:tcPr>
            <w:tcW w:w="1101" w:type="dxa"/>
            <w:vMerge w:val="continue"/>
          </w:tcPr>
          <w:p>
            <w:pPr>
              <w:spacing w:line="312" w:lineRule="auto"/>
              <w:jc w:val="center"/>
              <w:rPr>
                <w:rFonts w:ascii="Times New Roman" w:hAnsi="Times New Roman" w:cs="Times New Roman"/>
                <w:kern w:val="0"/>
                <w:szCs w:val="28"/>
              </w:rPr>
            </w:pPr>
          </w:p>
        </w:tc>
        <w:tc>
          <w:tcPr>
            <w:tcW w:w="1317" w:type="dxa"/>
            <w:vMerge w:val="continue"/>
            <w:vAlign w:val="center"/>
          </w:tcPr>
          <w:p>
            <w:pPr>
              <w:spacing w:line="312" w:lineRule="auto"/>
              <w:jc w:val="center"/>
              <w:rPr>
                <w:rFonts w:ascii="Times New Roman" w:hAnsi="Times New Roman" w:cs="Times New Roman"/>
                <w:kern w:val="0"/>
                <w:szCs w:val="28"/>
              </w:rPr>
            </w:pPr>
          </w:p>
        </w:tc>
        <w:tc>
          <w:tcPr>
            <w:tcW w:w="1456" w:type="dxa"/>
            <w:vAlign w:val="center"/>
          </w:tcPr>
          <w:p>
            <w:pPr>
              <w:widowControl/>
              <w:topLinePunct/>
              <w:adjustRightInd w:val="0"/>
              <w:snapToGrid w:val="0"/>
              <w:spacing w:line="280" w:lineRule="exact"/>
              <w:jc w:val="center"/>
              <w:rPr>
                <w:rFonts w:ascii="Times New Roman" w:hAnsi="Times New Roman" w:cs="Times New Roman"/>
                <w:kern w:val="0"/>
                <w:szCs w:val="28"/>
              </w:rPr>
            </w:pPr>
            <w:r>
              <w:rPr>
                <w:rFonts w:hint="eastAsia" w:ascii="Times New Roman" w:hAnsi="Times New Roman" w:cs="Times New Roman"/>
                <w:kern w:val="0"/>
                <w:szCs w:val="28"/>
              </w:rPr>
              <w:t>废油桶</w:t>
            </w:r>
          </w:p>
        </w:tc>
        <w:tc>
          <w:tcPr>
            <w:tcW w:w="2600"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400个</w:t>
            </w:r>
          </w:p>
        </w:tc>
        <w:tc>
          <w:tcPr>
            <w:tcW w:w="2812"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trPr>
        <w:tc>
          <w:tcPr>
            <w:tcW w:w="1101" w:type="dxa"/>
            <w:vMerge w:val="continue"/>
          </w:tcPr>
          <w:p>
            <w:pPr>
              <w:spacing w:line="312" w:lineRule="auto"/>
              <w:jc w:val="center"/>
              <w:rPr>
                <w:rFonts w:ascii="Times New Roman" w:hAnsi="Times New Roman" w:cs="Times New Roman"/>
                <w:kern w:val="0"/>
                <w:szCs w:val="28"/>
              </w:rPr>
            </w:pPr>
          </w:p>
        </w:tc>
        <w:tc>
          <w:tcPr>
            <w:tcW w:w="1317"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员工生活</w:t>
            </w:r>
          </w:p>
        </w:tc>
        <w:tc>
          <w:tcPr>
            <w:tcW w:w="1456"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生活垃圾</w:t>
            </w:r>
          </w:p>
        </w:tc>
        <w:tc>
          <w:tcPr>
            <w:tcW w:w="2600" w:type="dxa"/>
            <w:vAlign w:val="center"/>
          </w:tcPr>
          <w:p>
            <w:pPr>
              <w:spacing w:line="312" w:lineRule="auto"/>
              <w:jc w:val="center"/>
              <w:rPr>
                <w:rFonts w:ascii="Times New Roman" w:hAnsi="Times New Roman" w:cs="Times New Roman"/>
                <w:kern w:val="0"/>
                <w:szCs w:val="28"/>
              </w:rPr>
            </w:pPr>
            <w:r>
              <w:rPr>
                <w:rFonts w:hint="eastAsia" w:ascii="Times New Roman" w:hAnsi="Times New Roman" w:cs="Times New Roman"/>
                <w:kern w:val="0"/>
                <w:szCs w:val="28"/>
              </w:rPr>
              <w:t>4.5</w:t>
            </w:r>
            <w:r>
              <w:rPr>
                <w:rFonts w:ascii="Times New Roman" w:hAnsi="Times New Roman" w:cs="Times New Roman"/>
                <w:kern w:val="0"/>
                <w:szCs w:val="28"/>
              </w:rPr>
              <w:t xml:space="preserve"> t/a</w:t>
            </w:r>
          </w:p>
        </w:tc>
        <w:tc>
          <w:tcPr>
            <w:tcW w:w="2812" w:type="dxa"/>
            <w:vAlign w:val="center"/>
          </w:tcPr>
          <w:p>
            <w:pPr>
              <w:spacing w:line="312" w:lineRule="auto"/>
              <w:jc w:val="center"/>
              <w:rPr>
                <w:rFonts w:ascii="Times New Roman" w:hAnsi="Times New Roman" w:cs="Times New Roman"/>
                <w:kern w:val="0"/>
                <w:szCs w:val="28"/>
              </w:rPr>
            </w:pPr>
            <w:r>
              <w:rPr>
                <w:rFonts w:ascii="Times New Roman" w:hAnsi="Times New Roman" w:cs="Times New Roman"/>
                <w:kern w:val="0"/>
                <w:szCs w:val="28"/>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01" w:type="dxa"/>
          </w:tcPr>
          <w:p>
            <w:pPr>
              <w:spacing w:line="312" w:lineRule="auto"/>
              <w:jc w:val="center"/>
              <w:rPr>
                <w:rFonts w:ascii="Times New Roman" w:hAnsi="Times New Roman" w:cs="Times New Roman"/>
                <w:szCs w:val="28"/>
              </w:rPr>
            </w:pPr>
            <w:r>
              <w:rPr>
                <w:rFonts w:ascii="Times New Roman" w:hAnsi="Times New Roman" w:cs="Times New Roman"/>
                <w:szCs w:val="28"/>
              </w:rPr>
              <w:t>噪</w:t>
            </w:r>
          </w:p>
          <w:p>
            <w:pPr>
              <w:spacing w:line="312" w:lineRule="auto"/>
              <w:jc w:val="center"/>
              <w:rPr>
                <w:rFonts w:ascii="Times New Roman" w:hAnsi="Times New Roman" w:cs="Times New Roman"/>
                <w:szCs w:val="28"/>
              </w:rPr>
            </w:pPr>
            <w:r>
              <w:rPr>
                <w:rFonts w:ascii="Times New Roman" w:hAnsi="Times New Roman" w:cs="Times New Roman"/>
                <w:szCs w:val="28"/>
              </w:rPr>
              <w:t>声</w:t>
            </w:r>
          </w:p>
        </w:tc>
        <w:tc>
          <w:tcPr>
            <w:tcW w:w="8185" w:type="dxa"/>
            <w:gridSpan w:val="4"/>
            <w:vAlign w:val="center"/>
          </w:tcPr>
          <w:p>
            <w:pPr>
              <w:spacing w:line="312" w:lineRule="auto"/>
              <w:jc w:val="center"/>
              <w:rPr>
                <w:rFonts w:ascii="Times New Roman" w:hAnsi="Times New Roman" w:cs="Times New Roman"/>
                <w:szCs w:val="28"/>
              </w:rPr>
            </w:pPr>
            <w:r>
              <w:rPr>
                <w:rFonts w:ascii="Times New Roman" w:hAnsi="Times New Roman" w:cs="Times New Roman"/>
                <w:szCs w:val="28"/>
              </w:rPr>
              <w:t>项目运营期的噪声主要来自车间设备的运行、其单机噪声级为：</w:t>
            </w:r>
          </w:p>
          <w:p>
            <w:pPr>
              <w:spacing w:line="312" w:lineRule="auto"/>
              <w:jc w:val="center"/>
              <w:rPr>
                <w:rFonts w:ascii="Times New Roman" w:hAnsi="Times New Roman" w:cs="Times New Roman"/>
                <w:szCs w:val="28"/>
              </w:rPr>
            </w:pPr>
            <w:r>
              <w:rPr>
                <w:rFonts w:ascii="Times New Roman" w:hAnsi="Times New Roman" w:cs="Times New Roman"/>
                <w:szCs w:val="28"/>
              </w:rPr>
              <w:t>75 dB（A）～9</w:t>
            </w:r>
            <w:r>
              <w:rPr>
                <w:rFonts w:hint="eastAsia" w:ascii="Times New Roman" w:hAnsi="Times New Roman" w:cs="Times New Roman"/>
                <w:szCs w:val="28"/>
              </w:rPr>
              <w:t>0</w:t>
            </w:r>
            <w:r>
              <w:rPr>
                <w:rFonts w:ascii="Times New Roman" w:hAnsi="Times New Roman" w:cs="Times New Roman"/>
                <w:szCs w:val="28"/>
              </w:rPr>
              <w:t xml:space="preserve"> 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01" w:type="dxa"/>
          </w:tcPr>
          <w:p>
            <w:pPr>
              <w:spacing w:line="312" w:lineRule="auto"/>
              <w:jc w:val="center"/>
              <w:rPr>
                <w:rFonts w:ascii="Times New Roman" w:hAnsi="Times New Roman" w:cs="Times New Roman"/>
                <w:szCs w:val="28"/>
              </w:rPr>
            </w:pPr>
            <w:r>
              <w:rPr>
                <w:rFonts w:ascii="Times New Roman" w:hAnsi="Times New Roman" w:cs="Times New Roman"/>
                <w:szCs w:val="28"/>
              </w:rPr>
              <w:t>其</w:t>
            </w:r>
          </w:p>
          <w:p>
            <w:pPr>
              <w:spacing w:line="312" w:lineRule="auto"/>
              <w:jc w:val="center"/>
              <w:rPr>
                <w:rFonts w:ascii="Times New Roman" w:hAnsi="Times New Roman" w:cs="Times New Roman"/>
                <w:szCs w:val="28"/>
              </w:rPr>
            </w:pPr>
            <w:r>
              <w:rPr>
                <w:rFonts w:ascii="Times New Roman" w:hAnsi="Times New Roman" w:cs="Times New Roman"/>
                <w:szCs w:val="28"/>
              </w:rPr>
              <w:t>他</w:t>
            </w:r>
          </w:p>
        </w:tc>
        <w:tc>
          <w:tcPr>
            <w:tcW w:w="8185" w:type="dxa"/>
            <w:gridSpan w:val="4"/>
            <w:vAlign w:val="center"/>
          </w:tcPr>
          <w:p>
            <w:pPr>
              <w:spacing w:line="312" w:lineRule="auto"/>
              <w:jc w:val="center"/>
              <w:rPr>
                <w:rFonts w:ascii="Times New Roman" w:hAnsi="Times New Roman" w:cs="Times New Roman"/>
                <w:szCs w:val="28"/>
              </w:rPr>
            </w:pPr>
            <w:r>
              <w:rPr>
                <w:rFonts w:ascii="Times New Roman" w:hAnsi="Times New Roman" w:cs="Times New Roman"/>
                <w:szCs w:val="28"/>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34" w:hRule="atLeast"/>
        </w:trPr>
        <w:tc>
          <w:tcPr>
            <w:tcW w:w="9286" w:type="dxa"/>
            <w:gridSpan w:val="5"/>
            <w:vAlign w:val="center"/>
          </w:tcPr>
          <w:p>
            <w:pPr>
              <w:spacing w:line="312" w:lineRule="auto"/>
              <w:rPr>
                <w:rFonts w:ascii="Times New Roman" w:hAnsi="Times New Roman" w:cs="Times New Roman"/>
                <w:szCs w:val="28"/>
              </w:rPr>
            </w:pPr>
            <w:r>
              <w:rPr>
                <w:rFonts w:ascii="Times New Roman" w:hAnsi="Times New Roman" w:cs="Times New Roman"/>
                <w:szCs w:val="28"/>
              </w:rPr>
              <w:t>主要生态影响(不够时可附另页)</w:t>
            </w:r>
          </w:p>
          <w:p>
            <w:pPr>
              <w:spacing w:line="312" w:lineRule="auto"/>
              <w:ind w:firstLine="560" w:firstLineChars="200"/>
              <w:jc w:val="left"/>
              <w:rPr>
                <w:rFonts w:ascii="Times New Roman" w:hAnsi="Times New Roman" w:cs="Times New Roman"/>
                <w:szCs w:val="28"/>
              </w:rPr>
            </w:pPr>
            <w:r>
              <w:rPr>
                <w:rFonts w:ascii="Times New Roman" w:hAnsi="Times New Roman" w:cs="Times New Roman"/>
                <w:szCs w:val="28"/>
              </w:rPr>
              <w:t>本项目位于新乡市新乡经济技术开发区支一路与支四路交叉口向东150米</w:t>
            </w:r>
            <w:r>
              <w:rPr>
                <w:rFonts w:hint="eastAsia" w:ascii="Times New Roman" w:hAnsi="Times New Roman" w:cs="Times New Roman"/>
                <w:szCs w:val="28"/>
              </w:rPr>
              <w:t>，利用</w:t>
            </w:r>
            <w:r>
              <w:rPr>
                <w:rFonts w:ascii="Times New Roman" w:hAnsi="Times New Roman" w:cs="Times New Roman"/>
                <w:szCs w:val="28"/>
              </w:rPr>
              <w:t>现厂房进行设备安装和生产，周边区域不属于生态环境敏感区域，且土建施工已结束，不存在施工期生态影响问题。因此，项目不会对生态环境产生不利影响。</w:t>
            </w:r>
          </w:p>
        </w:tc>
      </w:tr>
    </w:tbl>
    <w:p>
      <w:pPr>
        <w:spacing w:line="360" w:lineRule="auto"/>
        <w:outlineLvl w:val="0"/>
        <w:rPr>
          <w:rStyle w:val="103"/>
        </w:rPr>
      </w:pPr>
      <w:r>
        <w:rPr>
          <w:rFonts w:ascii="Times New Roman" w:hAnsi="Times New Roman" w:cs="Times New Roman"/>
          <w:b/>
          <w:sz w:val="30"/>
        </w:rPr>
        <w:br w:type="page"/>
      </w:r>
      <w:r>
        <w:rPr>
          <w:rStyle w:val="103"/>
        </w:rPr>
        <w:t>环境影响分析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tcPr>
          <w:p>
            <w:pPr>
              <w:spacing w:line="360" w:lineRule="auto"/>
              <w:jc w:val="left"/>
              <w:rPr>
                <w:rFonts w:ascii="Times New Roman" w:hAnsi="Times New Roman" w:cs="Times New Roman"/>
                <w:b/>
                <w:sz w:val="24"/>
                <w:szCs w:val="24"/>
              </w:rPr>
            </w:pPr>
            <w:r>
              <w:rPr>
                <w:rFonts w:ascii="Times New Roman" w:hAnsi="Times New Roman" w:eastAsia="黑体" w:cs="Times New Roman"/>
                <w:szCs w:val="28"/>
              </w:rPr>
              <w:t>施工期环境影响分析</w:t>
            </w:r>
            <w:r>
              <w:rPr>
                <w:rFonts w:ascii="Times New Roman" w:hAnsi="Times New Roman" w:cs="Times New Roman"/>
                <w:b/>
                <w:sz w:val="24"/>
                <w:szCs w:val="24"/>
              </w:rPr>
              <w:t>：</w:t>
            </w:r>
          </w:p>
          <w:p>
            <w:pPr>
              <w:adjustRightInd w:val="0"/>
              <w:snapToGrid w:val="0"/>
              <w:spacing w:line="360" w:lineRule="auto"/>
              <w:ind w:firstLine="480" w:firstLineChars="200"/>
              <w:rPr>
                <w:rFonts w:ascii="Times New Roman" w:hAnsi="Times New Roman" w:cs="Times New Roman"/>
                <w:b/>
                <w:sz w:val="24"/>
                <w:szCs w:val="24"/>
              </w:rPr>
            </w:pPr>
            <w:r>
              <w:rPr>
                <w:sz w:val="24"/>
                <w:szCs w:val="24"/>
              </w:rPr>
              <w:t>本项目</w:t>
            </w:r>
            <w:r>
              <w:rPr>
                <w:rFonts w:hint="eastAsia"/>
                <w:sz w:val="24"/>
                <w:szCs w:val="24"/>
              </w:rPr>
              <w:t>利用</w:t>
            </w:r>
            <w:r>
              <w:rPr>
                <w:sz w:val="24"/>
                <w:szCs w:val="24"/>
              </w:rPr>
              <w:t>现有厂房进行生产，施工期仅为设备安装，无土建工程，施工期环境影响主要为噪声影响，项目施工期较短，施工期噪声影响随施工期结束而结束，对周边环境影响较小。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adjustRightInd w:val="0"/>
              <w:snapToGrid w:val="0"/>
              <w:spacing w:line="360" w:lineRule="auto"/>
              <w:jc w:val="left"/>
              <w:rPr>
                <w:rFonts w:ascii="Times New Roman" w:hAnsi="Times New Roman" w:eastAsia="黑体" w:cs="Times New Roman"/>
                <w:szCs w:val="28"/>
              </w:rPr>
            </w:pPr>
            <w:r>
              <w:rPr>
                <w:rFonts w:ascii="Times New Roman" w:hAnsi="Times New Roman" w:eastAsia="黑体" w:cs="Times New Roman"/>
                <w:szCs w:val="28"/>
              </w:rPr>
              <w:t>营运期环境影响分析：</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本项目营运期对环境的影响主要是生产过程中产生的废气、废水、噪声、固废。全厂运营后的环境影响分析如下：</w:t>
            </w:r>
          </w:p>
          <w:p>
            <w:pPr>
              <w:pStyle w:val="2"/>
              <w:spacing w:line="360" w:lineRule="auto"/>
              <w:rPr>
                <w:rFonts w:ascii="宋体" w:hAnsi="宋体" w:eastAsia="宋体" w:cs="宋体"/>
                <w:sz w:val="24"/>
                <w:szCs w:val="24"/>
              </w:rPr>
            </w:pPr>
            <w:r>
              <w:rPr>
                <w:rFonts w:hint="eastAsia" w:ascii="宋体" w:hAnsi="宋体" w:eastAsia="宋体" w:cs="宋体"/>
                <w:kern w:val="0"/>
                <w:sz w:val="24"/>
                <w:szCs w:val="24"/>
              </w:rPr>
              <w:t>1.</w:t>
            </w:r>
            <w:r>
              <w:rPr>
                <w:rFonts w:hint="eastAsia" w:ascii="宋体" w:hAnsi="宋体" w:eastAsia="宋体" w:cs="宋体"/>
                <w:sz w:val="24"/>
                <w:szCs w:val="24"/>
              </w:rPr>
              <w:t>大气环境影响分析</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1.1 现有项目废气产生情况</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因现有项目建设时间较早，环评及验收缺少对大气污染物排放治理的要求，且采用的移动式焊接烟尘净化器不符合现有环保规定，本扩建项目拟对现有项目废气治理环节进行整改，对焊接、打磨产生的废气分别采用集气罩收集后引致脉冲式袋式除尘器治理，</w:t>
            </w:r>
            <w:r>
              <w:rPr>
                <w:rFonts w:hint="eastAsia" w:ascii="Times New Roman" w:hAnsi="Times New Roman" w:cs="Times New Roman"/>
                <w:b/>
                <w:bCs/>
                <w:sz w:val="24"/>
                <w:u w:val="single"/>
              </w:rPr>
              <w:t>评价提出：现有项目焊接、打磨工序与扩建项目焊接、打磨工序共用1个固定工位，工位侧方设1个集气罩收集焊接烟尘和打磨废气，引入1套脉冲式袋式除尘器处理，处理后的尾气最终通过1根15m高排气筒排放</w:t>
            </w:r>
            <w:r>
              <w:rPr>
                <w:rFonts w:hint="eastAsia" w:ascii="Times New Roman" w:hAnsi="Times New Roman" w:cs="Times New Roman"/>
                <w:sz w:val="24"/>
              </w:rPr>
              <w:t>。现有项目废气拟产生量如下：</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（1）焊接烟尘产生量：根据实际情况，现有项目焊接过程中使用焊条0.5</w:t>
            </w:r>
            <w:r>
              <w:rPr>
                <w:rFonts w:hint="eastAsia" w:ascii="Times New Roman" w:hAnsi="Times New Roman" w:cs="Times New Roman"/>
                <w:sz w:val="24"/>
                <w:lang w:val="en-GB"/>
              </w:rPr>
              <w:t xml:space="preserve"> t/a，根据《焊接工作的劳动保护》</w:t>
            </w:r>
            <w:r>
              <w:rPr>
                <w:rFonts w:hint="eastAsia" w:ascii="Times New Roman" w:hAnsi="Times New Roman" w:cs="Times New Roman"/>
                <w:sz w:val="24"/>
              </w:rPr>
              <w:t>数据</w:t>
            </w:r>
            <w:r>
              <w:rPr>
                <w:rFonts w:hint="eastAsia" w:ascii="Times New Roman" w:hAnsi="Times New Roman" w:cs="Times New Roman"/>
                <w:sz w:val="24"/>
                <w:lang w:val="en-GB"/>
              </w:rPr>
              <w:t>，焊条烟尘产生量为8g/kg，</w:t>
            </w:r>
            <w:r>
              <w:rPr>
                <w:rFonts w:hint="eastAsia" w:ascii="Times New Roman" w:hAnsi="Times New Roman" w:cs="Times New Roman"/>
                <w:sz w:val="24"/>
              </w:rPr>
              <w:t>则焊接烟尘产生量为0.004t/a；</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（2）打磨废气产生量：项目焊接后需对其焊缝进行打磨，打磨工序每天工作2h，年工作时间为600h/a。类比同类型机械设备制造项目，打磨过程中颗粒物产生量约为原料用量的0.1%，项目最大下料量为3 t/a，则打磨颗粒物产生量为0.003t/a。</w:t>
            </w:r>
          </w:p>
          <w:p>
            <w:pPr>
              <w:widowControl/>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则现有项目废气产生量见表27。</w:t>
            </w:r>
          </w:p>
          <w:p>
            <w:pPr>
              <w:pStyle w:val="10"/>
              <w:spacing w:before="114" w:beforeLines="30" w:after="114" w:afterLines="30"/>
              <w:jc w:val="center"/>
              <w:rPr>
                <w:rFonts w:ascii="Times New Roman" w:hAnsi="Times New Roman" w:cs="Times New Roman"/>
                <w:sz w:val="22"/>
                <w:szCs w:val="22"/>
              </w:rPr>
            </w:pPr>
            <w:r>
              <w:rPr>
                <w:rFonts w:ascii="Times New Roman" w:hAnsi="Times New Roman" w:cs="Times New Roman"/>
                <w:sz w:val="22"/>
                <w:szCs w:val="22"/>
              </w:rPr>
              <w:t xml:space="preserve">表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SEQ 表 \* ARABIC </w:instrText>
            </w:r>
            <w:r>
              <w:rPr>
                <w:rFonts w:ascii="Times New Roman" w:hAnsi="Times New Roman" w:cs="Times New Roman"/>
                <w:sz w:val="22"/>
                <w:szCs w:val="22"/>
              </w:rPr>
              <w:fldChar w:fldCharType="separate"/>
            </w:r>
            <w:r>
              <w:rPr>
                <w:rFonts w:ascii="Times New Roman" w:hAnsi="Times New Roman" w:cs="Times New Roman"/>
                <w:sz w:val="22"/>
                <w:szCs w:val="22"/>
              </w:rPr>
              <w:t>27</w:t>
            </w:r>
            <w:r>
              <w:rPr>
                <w:rFonts w:ascii="Times New Roman" w:hAnsi="Times New Roman" w:cs="Times New Roman"/>
                <w:sz w:val="22"/>
                <w:szCs w:val="22"/>
              </w:rPr>
              <w:fldChar w:fldCharType="end"/>
            </w:r>
            <w:r>
              <w:rPr>
                <w:rFonts w:hint="eastAsia" w:ascii="Times New Roman" w:hAnsi="Times New Roman" w:cs="Times New Roman"/>
                <w:sz w:val="22"/>
                <w:szCs w:val="22"/>
              </w:rPr>
              <w:t xml:space="preserve"> 现有项目废气产生量</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4093"/>
              <w:gridCol w:w="3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805"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序号</w:t>
                  </w:r>
                </w:p>
              </w:tc>
              <w:tc>
                <w:tcPr>
                  <w:tcW w:w="2384"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污染工序</w:t>
                  </w:r>
                </w:p>
              </w:tc>
              <w:tc>
                <w:tcPr>
                  <w:tcW w:w="1810"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2384"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焊接</w:t>
                  </w:r>
                </w:p>
              </w:tc>
              <w:tc>
                <w:tcPr>
                  <w:tcW w:w="1810"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05"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2</w:t>
                  </w:r>
                </w:p>
              </w:tc>
              <w:tc>
                <w:tcPr>
                  <w:tcW w:w="2384"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打磨</w:t>
                  </w:r>
                </w:p>
              </w:tc>
              <w:tc>
                <w:tcPr>
                  <w:tcW w:w="1810"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189" w:type="pct"/>
                  <w:gridSpan w:val="2"/>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合计</w:t>
                  </w:r>
                </w:p>
              </w:tc>
              <w:tc>
                <w:tcPr>
                  <w:tcW w:w="1810" w:type="pct"/>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0.007</w:t>
                  </w:r>
                </w:p>
              </w:tc>
            </w:tr>
          </w:tbl>
          <w:p>
            <w:pPr>
              <w:adjustRightInd w:val="0"/>
              <w:snapToGrid w:val="0"/>
              <w:spacing w:before="190" w:beforeLines="50"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1.2扩建项目废气产生情况</w:t>
            </w:r>
          </w:p>
          <w:p>
            <w:pPr>
              <w:adjustRightInd w:val="0"/>
              <w:snapToGrid w:val="0"/>
              <w:spacing w:line="360" w:lineRule="auto"/>
              <w:ind w:firstLine="480" w:firstLineChars="200"/>
            </w:pPr>
            <w:r>
              <w:rPr>
                <w:rFonts w:hint="eastAsia" w:ascii="Times New Roman" w:hAnsi="Times New Roman" w:cs="Times New Roman"/>
                <w:kern w:val="0"/>
                <w:sz w:val="24"/>
                <w:szCs w:val="24"/>
              </w:rPr>
              <w:t>本扩建</w:t>
            </w:r>
            <w:r>
              <w:rPr>
                <w:rFonts w:ascii="Times New Roman" w:hAnsi="Times New Roman" w:cs="Times New Roman"/>
                <w:kern w:val="0"/>
                <w:sz w:val="24"/>
                <w:szCs w:val="24"/>
              </w:rPr>
              <w:t>项目</w:t>
            </w:r>
            <w:r>
              <w:rPr>
                <w:rFonts w:hint="eastAsia" w:ascii="Times New Roman" w:hAnsi="Times New Roman" w:cs="Times New Roman"/>
                <w:kern w:val="0"/>
                <w:sz w:val="24"/>
                <w:szCs w:val="24"/>
              </w:rPr>
              <w:t>产生的</w:t>
            </w:r>
            <w:r>
              <w:rPr>
                <w:rFonts w:ascii="Times New Roman" w:hAnsi="Times New Roman" w:cs="Times New Roman"/>
                <w:kern w:val="0"/>
                <w:sz w:val="24"/>
                <w:szCs w:val="24"/>
              </w:rPr>
              <w:t>废气主要</w:t>
            </w:r>
            <w:r>
              <w:rPr>
                <w:rFonts w:hint="eastAsia" w:ascii="Times New Roman" w:hAnsi="Times New Roman" w:cs="Times New Roman"/>
                <w:kern w:val="0"/>
                <w:sz w:val="24"/>
                <w:szCs w:val="24"/>
              </w:rPr>
              <w:t>为下料、焊接、打磨过程中产生的颗粒物废气与食堂油烟，</w:t>
            </w:r>
            <w:r>
              <w:rPr>
                <w:rFonts w:hint="eastAsia" w:ascii="Times New Roman" w:hAnsi="Times New Roman" w:cs="Times New Roman"/>
                <w:sz w:val="24"/>
              </w:rPr>
              <w:t>废气拟产生量如下：</w:t>
            </w:r>
          </w:p>
          <w:p>
            <w:pPr>
              <w:widowControl/>
              <w:adjustRightInd w:val="0"/>
              <w:snapToGrid w:val="0"/>
              <w:spacing w:line="360" w:lineRule="auto"/>
              <w:ind w:firstLine="480" w:firstLineChars="200"/>
              <w:rPr>
                <w:rFonts w:ascii="Times New Roman" w:hAnsi="Times New Roman" w:cs="Times New Roman"/>
                <w:b/>
                <w:bCs/>
                <w:sz w:val="24"/>
                <w:u w:val="single"/>
              </w:rPr>
            </w:pPr>
            <w:r>
              <w:rPr>
                <w:rFonts w:hint="eastAsia" w:ascii="Times New Roman" w:hAnsi="Times New Roman" w:cs="Times New Roman"/>
                <w:kern w:val="0"/>
                <w:sz w:val="24"/>
                <w:szCs w:val="24"/>
              </w:rPr>
              <w:t>（1）</w:t>
            </w:r>
            <w:r>
              <w:rPr>
                <w:rFonts w:ascii="Times New Roman" w:hAnsi="Times New Roman" w:cs="Times New Roman"/>
                <w:kern w:val="0"/>
                <w:sz w:val="24"/>
                <w:szCs w:val="24"/>
              </w:rPr>
              <w:t>下料废气：工程设置</w:t>
            </w:r>
            <w:r>
              <w:rPr>
                <w:rFonts w:hint="eastAsia" w:ascii="Times New Roman" w:hAnsi="Times New Roman" w:cs="Times New Roman"/>
                <w:kern w:val="0"/>
                <w:sz w:val="24"/>
                <w:szCs w:val="24"/>
              </w:rPr>
              <w:t>1台</w:t>
            </w:r>
            <w:r>
              <w:rPr>
                <w:rFonts w:ascii="Times New Roman" w:hAnsi="Times New Roman" w:cs="Times New Roman"/>
                <w:kern w:val="0"/>
                <w:sz w:val="24"/>
                <w:szCs w:val="24"/>
              </w:rPr>
              <w:t>等离子切割机</w:t>
            </w:r>
            <w:r>
              <w:rPr>
                <w:rFonts w:hint="eastAsia" w:ascii="Times New Roman" w:hAnsi="Times New Roman" w:cs="Times New Roman"/>
                <w:kern w:val="0"/>
                <w:sz w:val="24"/>
                <w:szCs w:val="24"/>
              </w:rPr>
              <w:t>、3台切割机，1台自动割对原料不锈钢板、碳钢板及型钢进行下料，下料工作时间</w:t>
            </w:r>
            <w:r>
              <w:rPr>
                <w:rFonts w:ascii="Times New Roman" w:hAnsi="Times New Roman" w:cs="Times New Roman"/>
                <w:kern w:val="0"/>
                <w:sz w:val="24"/>
                <w:szCs w:val="24"/>
              </w:rPr>
              <w:t>为</w:t>
            </w:r>
            <w:r>
              <w:rPr>
                <w:rFonts w:hint="eastAsia" w:ascii="Times New Roman" w:hAnsi="Times New Roman" w:cs="Times New Roman"/>
                <w:kern w:val="0"/>
                <w:sz w:val="24"/>
                <w:szCs w:val="24"/>
              </w:rPr>
              <w:t xml:space="preserve">2 </w:t>
            </w:r>
            <w:r>
              <w:rPr>
                <w:rFonts w:ascii="Times New Roman" w:hAnsi="Times New Roman" w:cs="Times New Roman"/>
                <w:kern w:val="0"/>
                <w:sz w:val="24"/>
                <w:szCs w:val="24"/>
              </w:rPr>
              <w:t>h/d，年工作时间为</w:t>
            </w:r>
            <w:r>
              <w:rPr>
                <w:rFonts w:hint="eastAsia" w:ascii="Times New Roman" w:hAnsi="Times New Roman" w:cs="Times New Roman"/>
                <w:kern w:val="0"/>
                <w:sz w:val="24"/>
                <w:szCs w:val="24"/>
              </w:rPr>
              <w:t>60</w:t>
            </w:r>
            <w:r>
              <w:rPr>
                <w:rFonts w:ascii="Times New Roman" w:hAnsi="Times New Roman" w:cs="Times New Roman"/>
                <w:kern w:val="0"/>
                <w:sz w:val="24"/>
                <w:szCs w:val="24"/>
              </w:rPr>
              <w:t>0</w:t>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h/a。工作过程中会有金属烟尘产生。类比同类型机械</w:t>
            </w:r>
            <w:r>
              <w:rPr>
                <w:rFonts w:hint="eastAsia" w:ascii="Times New Roman" w:hAnsi="Times New Roman" w:cs="Times New Roman"/>
                <w:kern w:val="0"/>
                <w:sz w:val="24"/>
                <w:szCs w:val="24"/>
              </w:rPr>
              <w:t>设备制造</w:t>
            </w:r>
            <w:r>
              <w:rPr>
                <w:rFonts w:ascii="Times New Roman" w:hAnsi="Times New Roman" w:cs="Times New Roman"/>
                <w:kern w:val="0"/>
                <w:sz w:val="24"/>
                <w:szCs w:val="24"/>
              </w:rPr>
              <w:t>项目</w:t>
            </w:r>
            <w:r>
              <w:rPr>
                <w:rFonts w:hint="eastAsia" w:ascii="Times New Roman" w:hAnsi="Times New Roman" w:cs="Times New Roman"/>
                <w:kern w:val="0"/>
                <w:sz w:val="24"/>
                <w:szCs w:val="24"/>
              </w:rPr>
              <w:t>，</w:t>
            </w:r>
            <w:r>
              <w:rPr>
                <w:rFonts w:ascii="Times New Roman" w:hAnsi="Times New Roman" w:cs="Times New Roman"/>
                <w:kern w:val="0"/>
                <w:sz w:val="24"/>
                <w:szCs w:val="24"/>
              </w:rPr>
              <w:t>项目</w:t>
            </w:r>
            <w:r>
              <w:rPr>
                <w:rFonts w:hint="eastAsia" w:ascii="Times New Roman" w:hAnsi="Times New Roman" w:cs="Times New Roman"/>
                <w:kern w:val="0"/>
                <w:sz w:val="24"/>
                <w:szCs w:val="24"/>
              </w:rPr>
              <w:t>预计</w:t>
            </w:r>
            <w:r>
              <w:rPr>
                <w:rFonts w:ascii="Times New Roman" w:hAnsi="Times New Roman" w:cs="Times New Roman"/>
                <w:kern w:val="0"/>
                <w:sz w:val="24"/>
                <w:szCs w:val="24"/>
              </w:rPr>
              <w:t>最大下料量为</w:t>
            </w:r>
            <w:r>
              <w:rPr>
                <w:rFonts w:hint="eastAsia" w:ascii="Times New Roman" w:hAnsi="Times New Roman" w:cs="Times New Roman"/>
                <w:kern w:val="0"/>
                <w:sz w:val="24"/>
                <w:szCs w:val="24"/>
              </w:rPr>
              <w:t xml:space="preserve">15 </w:t>
            </w:r>
            <w:r>
              <w:rPr>
                <w:rFonts w:ascii="Times New Roman" w:hAnsi="Times New Roman" w:cs="Times New Roman"/>
                <w:kern w:val="0"/>
                <w:sz w:val="24"/>
                <w:szCs w:val="24"/>
              </w:rPr>
              <w:t>t/a，参考《机加工行业环境影响评价中常见污染源强估算及污染治理》（湖北大学报，2010年），在金属切割过程中废气产生量为原料用量的0.1%，则</w:t>
            </w:r>
            <w:r>
              <w:rPr>
                <w:rFonts w:hint="eastAsia" w:ascii="Times New Roman" w:hAnsi="Times New Roman" w:cs="Times New Roman"/>
                <w:kern w:val="0"/>
                <w:sz w:val="24"/>
                <w:szCs w:val="24"/>
              </w:rPr>
              <w:t>下料工序工业</w:t>
            </w:r>
            <w:r>
              <w:rPr>
                <w:rFonts w:ascii="Times New Roman" w:hAnsi="Times New Roman" w:cs="Times New Roman"/>
                <w:kern w:val="0"/>
                <w:sz w:val="24"/>
                <w:szCs w:val="24"/>
              </w:rPr>
              <w:t>粉尘产生量为</w:t>
            </w:r>
            <w:r>
              <w:rPr>
                <w:rFonts w:hint="eastAsia" w:ascii="Times New Roman" w:hAnsi="Times New Roman" w:cs="Times New Roman"/>
                <w:kern w:val="0"/>
                <w:sz w:val="24"/>
                <w:szCs w:val="24"/>
              </w:rPr>
              <w:t>0.015 t</w:t>
            </w:r>
            <w:r>
              <w:rPr>
                <w:rFonts w:ascii="Times New Roman" w:hAnsi="Times New Roman" w:cs="Times New Roman"/>
                <w:kern w:val="0"/>
                <w:sz w:val="24"/>
                <w:szCs w:val="24"/>
              </w:rPr>
              <w:t>/a。</w:t>
            </w:r>
            <w:r>
              <w:rPr>
                <w:rFonts w:hint="eastAsia" w:ascii="Times New Roman" w:hAnsi="Times New Roman" w:cs="Times New Roman"/>
                <w:b/>
                <w:bCs/>
                <w:sz w:val="24"/>
                <w:u w:val="single"/>
              </w:rPr>
              <w:t>评价提出：下料工序应在固定区域操作，设置固定工位，下料切割点设置侧方集气罩收集下料废气，引入与焊接、打磨工序共用的同1套脉冲式袋式除尘器处理，尾气通过同1根15m高排气筒排放。</w:t>
            </w:r>
          </w:p>
          <w:p>
            <w:pPr>
              <w:widowControl/>
              <w:adjustRightInd w:val="0"/>
              <w:snapToGrid w:val="0"/>
              <w:spacing w:line="360" w:lineRule="auto"/>
              <w:ind w:firstLine="480" w:firstLineChars="200"/>
              <w:rPr>
                <w:rFonts w:ascii="Times New Roman" w:hAnsi="Times New Roman" w:cs="Times New Roman"/>
                <w:b/>
                <w:bCs/>
                <w:sz w:val="24"/>
                <w:u w:val="single"/>
              </w:rPr>
            </w:pPr>
            <w:r>
              <w:rPr>
                <w:rFonts w:hint="eastAsia" w:ascii="Times New Roman" w:hAnsi="Times New Roman" w:cs="Times New Roman"/>
                <w:kern w:val="0"/>
                <w:sz w:val="24"/>
                <w:szCs w:val="24"/>
              </w:rPr>
              <w:t>（2）</w:t>
            </w:r>
            <w:r>
              <w:rPr>
                <w:rFonts w:ascii="Times New Roman" w:hAnsi="Times New Roman" w:cs="Times New Roman"/>
                <w:kern w:val="0"/>
                <w:sz w:val="24"/>
                <w:szCs w:val="24"/>
              </w:rPr>
              <w:t>焊接废气：工程</w:t>
            </w:r>
            <w:r>
              <w:rPr>
                <w:rFonts w:hint="eastAsia" w:ascii="Times New Roman" w:hAnsi="Times New Roman" w:cs="Times New Roman"/>
                <w:kern w:val="0"/>
                <w:sz w:val="24"/>
                <w:szCs w:val="24"/>
              </w:rPr>
              <w:t>增</w:t>
            </w:r>
            <w:r>
              <w:rPr>
                <w:rFonts w:ascii="Times New Roman" w:hAnsi="Times New Roman" w:cs="Times New Roman"/>
                <w:kern w:val="0"/>
                <w:sz w:val="24"/>
                <w:szCs w:val="24"/>
              </w:rPr>
              <w:t>置</w:t>
            </w:r>
            <w:r>
              <w:rPr>
                <w:rFonts w:hint="eastAsia" w:ascii="Times New Roman" w:hAnsi="Times New Roman" w:cs="Times New Roman"/>
                <w:kern w:val="0"/>
                <w:sz w:val="24"/>
                <w:szCs w:val="24"/>
              </w:rPr>
              <w:t>6</w:t>
            </w:r>
            <w:r>
              <w:rPr>
                <w:rFonts w:ascii="Times New Roman" w:hAnsi="Times New Roman" w:cs="Times New Roman"/>
                <w:kern w:val="0"/>
                <w:sz w:val="24"/>
                <w:szCs w:val="24"/>
              </w:rPr>
              <w:t>台</w:t>
            </w:r>
            <w:r>
              <w:rPr>
                <w:rFonts w:hint="eastAsia" w:ascii="Times New Roman" w:hAnsi="Times New Roman" w:cs="Times New Roman"/>
                <w:kern w:val="0"/>
                <w:sz w:val="24"/>
                <w:szCs w:val="24"/>
              </w:rPr>
              <w:t>焊机，其中2台氩弧焊机、2台二保焊机、2台交流焊机</w:t>
            </w:r>
            <w:r>
              <w:rPr>
                <w:rFonts w:ascii="Times New Roman" w:hAnsi="Times New Roman" w:cs="Times New Roman"/>
                <w:kern w:val="0"/>
                <w:sz w:val="24"/>
                <w:szCs w:val="24"/>
              </w:rPr>
              <w:t>进行焊接作业</w:t>
            </w:r>
            <w:r>
              <w:rPr>
                <w:rFonts w:hint="eastAsia" w:ascii="Times New Roman" w:hAnsi="Times New Roman" w:cs="Times New Roman"/>
                <w:kern w:val="0"/>
                <w:sz w:val="24"/>
                <w:szCs w:val="24"/>
              </w:rPr>
              <w:t>（最多4台同时工作）</w:t>
            </w:r>
            <w:r>
              <w:rPr>
                <w:rFonts w:ascii="Times New Roman" w:hAnsi="Times New Roman" w:cs="Times New Roman"/>
                <w:kern w:val="0"/>
                <w:sz w:val="24"/>
                <w:szCs w:val="24"/>
              </w:rPr>
              <w:t>，焊接工作时间约为</w:t>
            </w:r>
            <w:r>
              <w:rPr>
                <w:rFonts w:hint="eastAsia" w:ascii="Times New Roman" w:hAnsi="Times New Roman" w:cs="Times New Roman"/>
                <w:kern w:val="0"/>
                <w:sz w:val="24"/>
                <w:szCs w:val="24"/>
              </w:rPr>
              <w:t>60</w:t>
            </w:r>
            <w:r>
              <w:rPr>
                <w:rFonts w:ascii="Times New Roman" w:hAnsi="Times New Roman" w:cs="Times New Roman"/>
                <w:kern w:val="0"/>
                <w:sz w:val="24"/>
                <w:szCs w:val="24"/>
              </w:rPr>
              <w:t>0h/a，焊</w:t>
            </w:r>
            <w:r>
              <w:rPr>
                <w:rFonts w:ascii="Times New Roman" w:hAnsi="Times New Roman" w:cs="Times New Roman"/>
                <w:kern w:val="0"/>
                <w:sz w:val="24"/>
                <w:szCs w:val="24"/>
                <w:lang w:val="en-GB"/>
              </w:rPr>
              <w:t>接过程中需使用焊条及焊丝等焊材，</w:t>
            </w:r>
            <w:r>
              <w:rPr>
                <w:rFonts w:hint="eastAsia" w:ascii="Times New Roman" w:hAnsi="Times New Roman" w:cs="Times New Roman"/>
                <w:kern w:val="0"/>
                <w:sz w:val="24"/>
                <w:szCs w:val="24"/>
                <w:lang w:val="en-GB"/>
              </w:rPr>
              <w:t>氩弧焊丝、二保焊丝、焊条用量分别为</w:t>
            </w:r>
            <w:r>
              <w:rPr>
                <w:rFonts w:hint="eastAsia" w:ascii="Times New Roman" w:hAnsi="Times New Roman" w:cs="Times New Roman"/>
                <w:kern w:val="0"/>
                <w:sz w:val="24"/>
                <w:szCs w:val="24"/>
              </w:rPr>
              <w:t>2</w:t>
            </w:r>
            <w:r>
              <w:rPr>
                <w:rFonts w:hint="eastAsia" w:ascii="Times New Roman" w:hAnsi="Times New Roman" w:cs="Times New Roman"/>
                <w:kern w:val="0"/>
                <w:sz w:val="24"/>
                <w:szCs w:val="24"/>
                <w:lang w:val="en-GB"/>
              </w:rPr>
              <w:t>t/a、</w:t>
            </w:r>
            <w:r>
              <w:rPr>
                <w:rFonts w:hint="eastAsia" w:ascii="Times New Roman" w:hAnsi="Times New Roman" w:cs="Times New Roman"/>
                <w:kern w:val="0"/>
                <w:sz w:val="24"/>
                <w:szCs w:val="24"/>
              </w:rPr>
              <w:t>1</w:t>
            </w:r>
            <w:r>
              <w:rPr>
                <w:rFonts w:hint="eastAsia" w:ascii="Times New Roman" w:hAnsi="Times New Roman" w:cs="Times New Roman"/>
                <w:kern w:val="0"/>
                <w:sz w:val="24"/>
                <w:szCs w:val="24"/>
                <w:lang w:val="en-GB"/>
              </w:rPr>
              <w:t>t/a、</w:t>
            </w:r>
            <w:r>
              <w:rPr>
                <w:rFonts w:hint="eastAsia" w:ascii="Times New Roman" w:hAnsi="Times New Roman" w:cs="Times New Roman"/>
                <w:kern w:val="0"/>
                <w:sz w:val="24"/>
                <w:szCs w:val="24"/>
              </w:rPr>
              <w:t>0.5</w:t>
            </w:r>
            <w:r>
              <w:rPr>
                <w:rFonts w:hint="eastAsia" w:ascii="Times New Roman" w:hAnsi="Times New Roman" w:cs="Times New Roman"/>
                <w:kern w:val="0"/>
                <w:sz w:val="24"/>
                <w:szCs w:val="24"/>
                <w:lang w:val="en-GB"/>
              </w:rPr>
              <w:t>t/a，</w:t>
            </w:r>
            <w:r>
              <w:rPr>
                <w:rFonts w:ascii="Times New Roman" w:hAnsi="Times New Roman" w:cs="Times New Roman"/>
                <w:kern w:val="0"/>
                <w:sz w:val="24"/>
                <w:szCs w:val="24"/>
                <w:lang w:val="en-GB"/>
              </w:rPr>
              <w:t>根据《焊接工作的劳动保护》</w:t>
            </w:r>
            <w:r>
              <w:rPr>
                <w:rFonts w:hint="eastAsia" w:ascii="Times New Roman" w:hAnsi="Times New Roman" w:cs="Times New Roman"/>
                <w:kern w:val="0"/>
                <w:sz w:val="24"/>
                <w:szCs w:val="24"/>
              </w:rPr>
              <w:t>数据</w:t>
            </w:r>
            <w:r>
              <w:rPr>
                <w:rFonts w:ascii="Times New Roman" w:hAnsi="Times New Roman" w:cs="Times New Roman"/>
                <w:kern w:val="0"/>
                <w:sz w:val="24"/>
                <w:szCs w:val="24"/>
                <w:lang w:val="en-GB"/>
              </w:rPr>
              <w:t>，</w:t>
            </w:r>
            <w:r>
              <w:rPr>
                <w:rFonts w:hint="eastAsia" w:ascii="Times New Roman" w:hAnsi="Times New Roman" w:cs="Times New Roman"/>
                <w:kern w:val="0"/>
                <w:sz w:val="24"/>
                <w:szCs w:val="24"/>
                <w:lang w:val="en-GB"/>
              </w:rPr>
              <w:t>氩弧焊丝烟尘产生量为6.5g/kg、</w:t>
            </w:r>
            <w:r>
              <w:rPr>
                <w:rFonts w:ascii="Times New Roman" w:hAnsi="Times New Roman" w:cs="Times New Roman"/>
                <w:kern w:val="0"/>
                <w:sz w:val="24"/>
                <w:szCs w:val="24"/>
                <w:lang w:val="en-GB"/>
              </w:rPr>
              <w:t>二保焊丝烟尘产生量为8g/kg，焊条烟尘产生量为8g/kg，</w:t>
            </w:r>
            <w:r>
              <w:rPr>
                <w:rFonts w:ascii="Times New Roman" w:hAnsi="Times New Roman" w:cs="Times New Roman"/>
                <w:kern w:val="0"/>
                <w:sz w:val="24"/>
                <w:szCs w:val="24"/>
              </w:rPr>
              <w:t>则焊接烟尘产生量为</w:t>
            </w:r>
            <w:r>
              <w:rPr>
                <w:rFonts w:hint="eastAsia" w:ascii="Times New Roman" w:hAnsi="Times New Roman" w:cs="Times New Roman"/>
                <w:kern w:val="0"/>
                <w:sz w:val="24"/>
                <w:szCs w:val="24"/>
              </w:rPr>
              <w:t>（13kg+8kg+4kg）=</w:t>
            </w:r>
            <w:r>
              <w:rPr>
                <w:rFonts w:ascii="Times New Roman" w:hAnsi="Times New Roman" w:cs="Times New Roman"/>
                <w:kern w:val="0"/>
                <w:sz w:val="24"/>
                <w:szCs w:val="24"/>
              </w:rPr>
              <w:t>0.0</w:t>
            </w:r>
            <w:r>
              <w:rPr>
                <w:rFonts w:hint="eastAsia" w:ascii="Times New Roman" w:hAnsi="Times New Roman" w:cs="Times New Roman"/>
                <w:kern w:val="0"/>
                <w:sz w:val="24"/>
                <w:szCs w:val="24"/>
              </w:rPr>
              <w:t>25</w:t>
            </w:r>
            <w:r>
              <w:rPr>
                <w:rFonts w:ascii="Times New Roman" w:hAnsi="Times New Roman" w:cs="Times New Roman"/>
                <w:kern w:val="0"/>
                <w:sz w:val="24"/>
                <w:szCs w:val="24"/>
              </w:rPr>
              <w:t>t/a。</w:t>
            </w:r>
            <w:r>
              <w:rPr>
                <w:rFonts w:hint="eastAsia" w:ascii="Times New Roman" w:hAnsi="Times New Roman" w:cs="Times New Roman"/>
                <w:sz w:val="24"/>
              </w:rPr>
              <w:t>评价提出：</w:t>
            </w:r>
            <w:r>
              <w:rPr>
                <w:rFonts w:hint="eastAsia" w:ascii="Times New Roman" w:hAnsi="Times New Roman" w:cs="Times New Roman"/>
                <w:b/>
                <w:bCs/>
                <w:sz w:val="24"/>
                <w:u w:val="single"/>
              </w:rPr>
              <w:t>评价提出：现有项目焊接、打磨工序与扩建项目焊接、打磨工序共用1个固定工位，工位侧方设1个集气罩收集焊接烟尘和打磨废气，引入1套脉冲式袋式除尘器处理，处理后的尾气最终通过1根15m高排气筒排放。</w:t>
            </w:r>
          </w:p>
          <w:p>
            <w:pPr>
              <w:widowControl/>
              <w:adjustRightInd w:val="0"/>
              <w:snapToGrid w:val="0"/>
              <w:spacing w:line="360" w:lineRule="auto"/>
              <w:ind w:firstLine="480" w:firstLineChars="200"/>
              <w:rPr>
                <w:rFonts w:ascii="Times New Roman" w:hAnsi="Times New Roman" w:cs="Times New Roman"/>
                <w:b/>
                <w:bCs/>
                <w:sz w:val="24"/>
                <w:u w:val="single"/>
              </w:rPr>
            </w:pPr>
            <w:r>
              <w:rPr>
                <w:rFonts w:hint="eastAsia" w:ascii="Times New Roman" w:hAnsi="Times New Roman" w:cs="Times New Roman"/>
                <w:kern w:val="0"/>
                <w:sz w:val="24"/>
                <w:szCs w:val="24"/>
              </w:rPr>
              <w:t>（3）</w:t>
            </w:r>
            <w:r>
              <w:rPr>
                <w:rFonts w:ascii="Times New Roman" w:hAnsi="Times New Roman" w:cs="Times New Roman"/>
                <w:kern w:val="0"/>
                <w:sz w:val="24"/>
                <w:szCs w:val="24"/>
              </w:rPr>
              <w:t>打磨废气：项目工件焊接后需对其焊缝进行打磨，打磨工序每天工作</w:t>
            </w:r>
            <w:r>
              <w:rPr>
                <w:rFonts w:hint="eastAsia" w:ascii="Times New Roman" w:hAnsi="Times New Roman" w:cs="Times New Roman"/>
                <w:kern w:val="0"/>
                <w:sz w:val="24"/>
                <w:szCs w:val="24"/>
              </w:rPr>
              <w:t>2</w:t>
            </w:r>
            <w:r>
              <w:rPr>
                <w:rFonts w:ascii="Times New Roman" w:hAnsi="Times New Roman" w:cs="Times New Roman"/>
                <w:kern w:val="0"/>
                <w:sz w:val="24"/>
                <w:szCs w:val="24"/>
              </w:rPr>
              <w:t>h，年工作时间为</w:t>
            </w:r>
            <w:r>
              <w:rPr>
                <w:rFonts w:hint="eastAsia" w:ascii="Times New Roman" w:hAnsi="Times New Roman" w:cs="Times New Roman"/>
                <w:kern w:val="0"/>
                <w:sz w:val="24"/>
                <w:szCs w:val="24"/>
              </w:rPr>
              <w:t>60</w:t>
            </w:r>
            <w:r>
              <w:rPr>
                <w:rFonts w:ascii="Times New Roman" w:hAnsi="Times New Roman" w:cs="Times New Roman"/>
                <w:kern w:val="0"/>
                <w:sz w:val="24"/>
                <w:szCs w:val="24"/>
              </w:rPr>
              <w:t>0h/a</w:t>
            </w:r>
            <w:r>
              <w:rPr>
                <w:rFonts w:hint="eastAsia" w:ascii="Times New Roman" w:hAnsi="Times New Roman" w:cs="Times New Roman"/>
                <w:kern w:val="0"/>
                <w:sz w:val="24"/>
                <w:szCs w:val="24"/>
              </w:rPr>
              <w:t>。</w:t>
            </w:r>
            <w:r>
              <w:rPr>
                <w:rFonts w:ascii="Times New Roman" w:hAnsi="Times New Roman" w:cs="Times New Roman"/>
                <w:kern w:val="0"/>
                <w:sz w:val="24"/>
                <w:szCs w:val="24"/>
              </w:rPr>
              <w:t>类比同类型机械</w:t>
            </w:r>
            <w:r>
              <w:rPr>
                <w:rFonts w:hint="eastAsia" w:ascii="Times New Roman" w:hAnsi="Times New Roman" w:cs="Times New Roman"/>
                <w:kern w:val="0"/>
                <w:sz w:val="24"/>
                <w:szCs w:val="24"/>
              </w:rPr>
              <w:t>设备制造</w:t>
            </w:r>
            <w:r>
              <w:rPr>
                <w:rFonts w:ascii="Times New Roman" w:hAnsi="Times New Roman" w:cs="Times New Roman"/>
                <w:kern w:val="0"/>
                <w:sz w:val="24"/>
                <w:szCs w:val="24"/>
              </w:rPr>
              <w:t>项目</w:t>
            </w:r>
            <w:r>
              <w:rPr>
                <w:rFonts w:hint="eastAsia" w:ascii="Times New Roman" w:hAnsi="Times New Roman" w:cs="Times New Roman"/>
                <w:kern w:val="0"/>
                <w:sz w:val="24"/>
                <w:szCs w:val="24"/>
              </w:rPr>
              <w:t>，</w:t>
            </w:r>
            <w:r>
              <w:rPr>
                <w:rFonts w:ascii="Times New Roman" w:hAnsi="Times New Roman" w:cs="Times New Roman"/>
                <w:kern w:val="0"/>
                <w:sz w:val="24"/>
                <w:szCs w:val="24"/>
              </w:rPr>
              <w:t>打磨过程中颗粒物产生量约为原料用量的0.1%，项目最大下料量为</w:t>
            </w:r>
            <w:r>
              <w:rPr>
                <w:rFonts w:hint="eastAsia" w:ascii="Times New Roman" w:hAnsi="Times New Roman" w:cs="Times New Roman"/>
                <w:kern w:val="0"/>
                <w:sz w:val="24"/>
                <w:szCs w:val="24"/>
              </w:rPr>
              <w:t xml:space="preserve">15 </w:t>
            </w:r>
            <w:r>
              <w:rPr>
                <w:rFonts w:ascii="Times New Roman" w:hAnsi="Times New Roman" w:cs="Times New Roman"/>
                <w:kern w:val="0"/>
                <w:sz w:val="24"/>
                <w:szCs w:val="24"/>
              </w:rPr>
              <w:t>t/a，则打磨颗粒物产生量为</w:t>
            </w:r>
            <w:r>
              <w:rPr>
                <w:rFonts w:hint="eastAsia" w:ascii="Times New Roman" w:hAnsi="Times New Roman" w:cs="Times New Roman"/>
                <w:kern w:val="0"/>
                <w:sz w:val="24"/>
                <w:szCs w:val="24"/>
              </w:rPr>
              <w:t>0.015</w:t>
            </w:r>
            <w:r>
              <w:rPr>
                <w:rFonts w:ascii="Times New Roman" w:hAnsi="Times New Roman" w:cs="Times New Roman"/>
                <w:kern w:val="0"/>
                <w:sz w:val="24"/>
                <w:szCs w:val="24"/>
              </w:rPr>
              <w:t>t/a。</w:t>
            </w:r>
            <w:r>
              <w:rPr>
                <w:rFonts w:hint="eastAsia" w:ascii="Times New Roman" w:hAnsi="Times New Roman" w:cs="Times New Roman"/>
                <w:kern w:val="0"/>
                <w:sz w:val="24"/>
                <w:szCs w:val="24"/>
              </w:rPr>
              <w:t>因打磨工序根据焊接成品效果各异，只对部分工件进行打磨，打磨粉尘产生量较小。</w:t>
            </w:r>
            <w:r>
              <w:rPr>
                <w:rFonts w:hint="eastAsia" w:ascii="Times New Roman" w:hAnsi="Times New Roman" w:cs="Times New Roman"/>
                <w:sz w:val="24"/>
              </w:rPr>
              <w:t>评价提出：</w:t>
            </w:r>
            <w:r>
              <w:rPr>
                <w:rFonts w:hint="eastAsia" w:ascii="Times New Roman" w:hAnsi="Times New Roman" w:cs="Times New Roman"/>
                <w:b/>
                <w:bCs/>
                <w:sz w:val="24"/>
                <w:u w:val="single"/>
              </w:rPr>
              <w:t>评价提出：现有项目焊接、打磨工序与扩建项目焊接、打磨工序共用1个固定工位，工位侧方设1个集气罩收集焊接烟尘和打磨废气，引入1套脉冲式袋式除尘器处理，处理后的尾气最终通过1根15m高排气筒排放。</w:t>
            </w:r>
          </w:p>
          <w:p>
            <w:pPr>
              <w:pStyle w:val="27"/>
              <w:adjustRightInd w:val="0"/>
              <w:snapToGrid w:val="0"/>
              <w:spacing w:line="360" w:lineRule="auto"/>
              <w:ind w:firstLine="480"/>
              <w:rPr>
                <w:rFonts w:ascii="Times New Roman" w:hAnsi="Times New Roman" w:cs="Times New Roman"/>
                <w:szCs w:val="24"/>
              </w:rPr>
            </w:pPr>
            <w:r>
              <w:rPr>
                <w:rFonts w:hint="eastAsia" w:ascii="Times New Roman" w:hAnsi="Times New Roman" w:cs="Times New Roman"/>
                <w:szCs w:val="24"/>
              </w:rPr>
              <w:t>（4）</w:t>
            </w:r>
            <w:r>
              <w:rPr>
                <w:rFonts w:ascii="Times New Roman" w:hAnsi="Times New Roman" w:cs="Times New Roman"/>
                <w:szCs w:val="24"/>
              </w:rPr>
              <w:t>食堂油烟</w:t>
            </w:r>
          </w:p>
          <w:p>
            <w:pPr>
              <w:pStyle w:val="27"/>
              <w:adjustRightInd w:val="0"/>
              <w:snapToGrid w:val="0"/>
              <w:spacing w:line="360" w:lineRule="auto"/>
              <w:ind w:firstLine="480"/>
              <w:rPr>
                <w:rFonts w:ascii="Times New Roman" w:hAnsi="Times New Roman" w:cs="Times New Roman"/>
                <w:szCs w:val="24"/>
              </w:rPr>
            </w:pPr>
            <w:r>
              <w:rPr>
                <w:rFonts w:ascii="Times New Roman" w:hAnsi="Times New Roman" w:cs="Times New Roman"/>
                <w:szCs w:val="24"/>
              </w:rPr>
              <w:t>本项目拟新建食堂，为员工提供午餐，</w:t>
            </w:r>
            <w:r>
              <w:rPr>
                <w:rFonts w:hint="eastAsia" w:ascii="Times New Roman" w:hAnsi="Times New Roman" w:cs="Times New Roman"/>
                <w:szCs w:val="24"/>
              </w:rPr>
              <w:t>灶台</w:t>
            </w:r>
            <w:r>
              <w:rPr>
                <w:rFonts w:ascii="Times New Roman" w:hAnsi="Times New Roman" w:cs="Times New Roman"/>
                <w:szCs w:val="24"/>
              </w:rPr>
              <w:t>以电为主要能源。餐厅拟设2个灶台，设计餐厅座位</w:t>
            </w:r>
            <w:r>
              <w:rPr>
                <w:rFonts w:hint="eastAsia" w:ascii="Times New Roman" w:hAnsi="Times New Roman" w:cs="Times New Roman"/>
                <w:szCs w:val="24"/>
              </w:rPr>
              <w:t>8</w:t>
            </w:r>
            <w:r>
              <w:rPr>
                <w:rFonts w:ascii="Times New Roman" w:hAnsi="Times New Roman" w:cs="Times New Roman"/>
                <w:szCs w:val="24"/>
              </w:rPr>
              <w:t>人，餐厅日用餐人数按30人计（根据厂区</w:t>
            </w:r>
            <w:r>
              <w:rPr>
                <w:rFonts w:hint="eastAsia" w:ascii="Times New Roman" w:hAnsi="Times New Roman" w:cs="Times New Roman"/>
                <w:szCs w:val="24"/>
              </w:rPr>
              <w:t>全体</w:t>
            </w:r>
            <w:r>
              <w:rPr>
                <w:rFonts w:ascii="Times New Roman" w:hAnsi="Times New Roman" w:cs="Times New Roman"/>
                <w:szCs w:val="24"/>
              </w:rPr>
              <w:t>员工</w:t>
            </w:r>
            <w:r>
              <w:rPr>
                <w:rFonts w:hint="eastAsia" w:ascii="Times New Roman" w:hAnsi="Times New Roman" w:cs="Times New Roman"/>
                <w:szCs w:val="24"/>
              </w:rPr>
              <w:t>均在场内就餐计算</w:t>
            </w:r>
            <w:r>
              <w:rPr>
                <w:rFonts w:ascii="Times New Roman" w:hAnsi="Times New Roman" w:cs="Times New Roman"/>
                <w:szCs w:val="24"/>
              </w:rPr>
              <w:t>），年工作日为300天，运营过程中会产生餐饮油烟</w:t>
            </w:r>
            <w:r>
              <w:rPr>
                <w:rFonts w:hint="eastAsia" w:ascii="Times New Roman" w:hAnsi="Times New Roman" w:cs="Times New Roman"/>
                <w:szCs w:val="24"/>
              </w:rPr>
              <w:t>，</w:t>
            </w:r>
            <w:r>
              <w:rPr>
                <w:rFonts w:ascii="Times New Roman" w:hAnsi="Times New Roman" w:cs="Times New Roman"/>
                <w:szCs w:val="24"/>
              </w:rPr>
              <w:t>根据中国营养学会制定的</w:t>
            </w:r>
            <w:r>
              <w:rPr>
                <w:rFonts w:hint="eastAsia" w:ascii="Times New Roman" w:hAnsi="Times New Roman" w:cs="Times New Roman"/>
                <w:szCs w:val="24"/>
              </w:rPr>
              <w:t>《中国居民平衡膳食宝塔》，本项目</w:t>
            </w:r>
            <w:r>
              <w:rPr>
                <w:rFonts w:ascii="Times New Roman" w:hAnsi="Times New Roman" w:cs="Times New Roman"/>
                <w:szCs w:val="24"/>
              </w:rPr>
              <w:t>食用油用量平均每天按0.03kg/人计，则日耗油量为0.9kg/d，年耗油量为0.27t/a。据类比调查，不同的烧炸工况烟气浓度及挥发量均有所不同，油的平均挥发量为总耗油量的3.83%。经核算，本项目油烟产生量为0.03447kg/d，年产生油烟量为10.341kg/a。煮饪时间按2h/d计算，则该项目产生的油烟量为0.01724kg/h，油烟产生浓度为6.894mg/m</w:t>
            </w:r>
            <w:r>
              <w:rPr>
                <w:rFonts w:ascii="Times New Roman" w:hAnsi="Times New Roman" w:cs="Times New Roman"/>
                <w:szCs w:val="24"/>
                <w:vertAlign w:val="superscript"/>
              </w:rPr>
              <w:t>3</w:t>
            </w:r>
            <w:r>
              <w:rPr>
                <w:rFonts w:ascii="Times New Roman" w:hAnsi="Times New Roman" w:cs="Times New Roman"/>
                <w:szCs w:val="24"/>
              </w:rPr>
              <w:t>（油烟净化器风量按2500 m</w:t>
            </w:r>
            <w:r>
              <w:rPr>
                <w:rFonts w:ascii="Times New Roman" w:hAnsi="Times New Roman" w:cs="Times New Roman"/>
                <w:szCs w:val="24"/>
                <w:vertAlign w:val="superscript"/>
              </w:rPr>
              <w:t>3</w:t>
            </w:r>
            <w:r>
              <w:rPr>
                <w:rFonts w:ascii="Times New Roman" w:hAnsi="Times New Roman" w:cs="Times New Roman"/>
                <w:szCs w:val="24"/>
              </w:rPr>
              <w:t>/h计）。</w:t>
            </w:r>
            <w:r>
              <w:rPr>
                <w:rFonts w:hint="eastAsia" w:ascii="Times New Roman" w:hAnsi="Times New Roman" w:cs="Times New Roman"/>
                <w:b/>
                <w:bCs/>
                <w:u w:val="single"/>
              </w:rPr>
              <w:t>评价提出：食堂油烟需安装油烟净化器，净化后的烟气通过</w:t>
            </w:r>
            <w:r>
              <w:rPr>
                <w:rFonts w:hint="eastAsia" w:ascii="Times New Roman" w:hAnsi="Times New Roman" w:cs="Times New Roman"/>
                <w:b/>
                <w:bCs/>
                <w:szCs w:val="24"/>
                <w:u w:val="single"/>
              </w:rPr>
              <w:t>排气管</w:t>
            </w:r>
            <w:r>
              <w:rPr>
                <w:rFonts w:ascii="Times New Roman" w:hAnsi="Times New Roman" w:cs="Times New Roman"/>
                <w:b/>
                <w:bCs/>
                <w:szCs w:val="24"/>
                <w:u w:val="single"/>
              </w:rPr>
              <w:t>引致</w:t>
            </w:r>
            <w:r>
              <w:rPr>
                <w:rFonts w:hint="eastAsia" w:ascii="Times New Roman" w:hAnsi="Times New Roman" w:cs="Times New Roman"/>
                <w:b/>
                <w:bCs/>
                <w:szCs w:val="24"/>
                <w:u w:val="single"/>
              </w:rPr>
              <w:t>楼房侧面排放。</w:t>
            </w:r>
          </w:p>
          <w:p>
            <w:pPr>
              <w:spacing w:line="360" w:lineRule="auto"/>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扩建项目废气产生量见表28。</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28</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扩建项目废气产生量</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2045"/>
              <w:gridCol w:w="2046"/>
              <w:gridCol w:w="31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pct"/>
                  <w:tcBorders>
                    <w:tl2br w:val="nil"/>
                    <w:tr2bl w:val="nil"/>
                  </w:tcBorders>
                  <w:vAlign w:val="center"/>
                </w:tcPr>
                <w:p>
                  <w:pPr>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序号</w:t>
                  </w:r>
                </w:p>
              </w:tc>
              <w:tc>
                <w:tcPr>
                  <w:tcW w:w="1191" w:type="pct"/>
                  <w:tcBorders>
                    <w:tl2br w:val="nil"/>
                    <w:tr2bl w:val="nil"/>
                  </w:tcBorders>
                  <w:vAlign w:val="center"/>
                </w:tcPr>
                <w:p>
                  <w:pPr>
                    <w:adjustRightInd w:val="0"/>
                    <w:snapToGrid w:val="0"/>
                    <w:spacing w:line="288" w:lineRule="auto"/>
                    <w:jc w:val="center"/>
                    <w:rPr>
                      <w:rFonts w:ascii="Times New Roman" w:hAnsi="Times New Roman" w:cs="Times New Roman"/>
                      <w:b/>
                      <w:bCs/>
                      <w:kern w:val="0"/>
                      <w:sz w:val="21"/>
                      <w:szCs w:val="21"/>
                    </w:rPr>
                  </w:pPr>
                  <w:r>
                    <w:rPr>
                      <w:rFonts w:hint="eastAsia" w:ascii="Times New Roman" w:hAnsi="Times New Roman" w:cs="Times New Roman"/>
                      <w:b/>
                      <w:bCs/>
                      <w:kern w:val="0"/>
                      <w:sz w:val="21"/>
                      <w:szCs w:val="21"/>
                    </w:rPr>
                    <w:t>污染物</w:t>
                  </w:r>
                </w:p>
              </w:tc>
              <w:tc>
                <w:tcPr>
                  <w:tcW w:w="1191" w:type="pct"/>
                  <w:tcBorders>
                    <w:tl2br w:val="nil"/>
                    <w:tr2bl w:val="nil"/>
                  </w:tcBorders>
                  <w:vAlign w:val="center"/>
                </w:tcPr>
                <w:p>
                  <w:pPr>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污染工序</w:t>
                  </w:r>
                </w:p>
              </w:tc>
              <w:tc>
                <w:tcPr>
                  <w:tcW w:w="1811" w:type="pct"/>
                  <w:tcBorders>
                    <w:tl2br w:val="nil"/>
                    <w:tr2bl w:val="nil"/>
                  </w:tcBorders>
                  <w:vAlign w:val="center"/>
                </w:tcPr>
                <w:p>
                  <w:pPr>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产生量</w:t>
                  </w:r>
                  <w:r>
                    <w:rPr>
                      <w:rFonts w:ascii="Times New Roman" w:hAnsi="Times New Roman" w:cs="Times New Roman"/>
                      <w:kern w:val="0"/>
                      <w:sz w:val="21"/>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1191" w:type="pct"/>
                  <w:vMerge w:val="restar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颗粒物</w:t>
                  </w:r>
                </w:p>
              </w:tc>
              <w:tc>
                <w:tcPr>
                  <w:tcW w:w="1191"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下料</w:t>
                  </w:r>
                </w:p>
              </w:tc>
              <w:tc>
                <w:tcPr>
                  <w:tcW w:w="1811" w:type="pct"/>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191" w:type="pct"/>
                  <w:vMerge w:val="continue"/>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p>
              </w:tc>
              <w:tc>
                <w:tcPr>
                  <w:tcW w:w="1191"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焊接</w:t>
                  </w:r>
                </w:p>
              </w:tc>
              <w:tc>
                <w:tcPr>
                  <w:tcW w:w="1811"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sz w:val="21"/>
                      <w:szCs w:val="21"/>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1191" w:type="pct"/>
                  <w:vMerge w:val="continue"/>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p>
              </w:tc>
              <w:tc>
                <w:tcPr>
                  <w:tcW w:w="1191"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打磨</w:t>
                  </w:r>
                </w:p>
              </w:tc>
              <w:tc>
                <w:tcPr>
                  <w:tcW w:w="1811" w:type="pct"/>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88" w:type="pct"/>
                  <w:gridSpan w:val="3"/>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合计</w:t>
                  </w:r>
                </w:p>
              </w:tc>
              <w:tc>
                <w:tcPr>
                  <w:tcW w:w="1811" w:type="pct"/>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4</w:t>
                  </w:r>
                </w:p>
              </w:tc>
              <w:tc>
                <w:tcPr>
                  <w:tcW w:w="1191"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油烟</w:t>
                  </w:r>
                </w:p>
              </w:tc>
              <w:tc>
                <w:tcPr>
                  <w:tcW w:w="1191"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食堂</w:t>
                  </w:r>
                </w:p>
              </w:tc>
              <w:tc>
                <w:tcPr>
                  <w:tcW w:w="1811" w:type="pct"/>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0.01</w:t>
                  </w:r>
                </w:p>
              </w:tc>
            </w:tr>
          </w:tbl>
          <w:p>
            <w:pPr>
              <w:pStyle w:val="27"/>
              <w:adjustRightInd w:val="0"/>
              <w:snapToGrid w:val="0"/>
              <w:spacing w:before="190" w:beforeLines="50" w:line="360" w:lineRule="auto"/>
              <w:ind w:firstLine="480"/>
              <w:rPr>
                <w:rFonts w:ascii="Times New Roman" w:hAnsi="Times New Roman" w:cs="Times New Roman"/>
                <w:kern w:val="0"/>
                <w:szCs w:val="24"/>
              </w:rPr>
            </w:pPr>
            <w:r>
              <w:rPr>
                <w:rFonts w:hint="eastAsia" w:ascii="Times New Roman" w:hAnsi="Times New Roman" w:cs="Times New Roman"/>
                <w:kern w:val="0"/>
                <w:szCs w:val="24"/>
              </w:rPr>
              <w:t>1.3 现有项目及扩建项目废气排放情况</w:t>
            </w:r>
          </w:p>
          <w:p>
            <w:pPr>
              <w:pStyle w:val="27"/>
              <w:adjustRightInd w:val="0"/>
              <w:snapToGrid w:val="0"/>
              <w:spacing w:line="360" w:lineRule="auto"/>
              <w:ind w:firstLine="480"/>
              <w:rPr>
                <w:rFonts w:ascii="Times New Roman" w:hAnsi="Times New Roman" w:cs="Times New Roman"/>
                <w:kern w:val="0"/>
                <w:szCs w:val="24"/>
              </w:rPr>
            </w:pPr>
            <w:r>
              <w:rPr>
                <w:rFonts w:hint="eastAsia" w:ascii="Times New Roman" w:hAnsi="Times New Roman" w:cs="Times New Roman"/>
                <w:kern w:val="0"/>
                <w:szCs w:val="24"/>
              </w:rPr>
              <w:t>（1）颗粒物</w:t>
            </w:r>
          </w:p>
          <w:p>
            <w:pPr>
              <w:pStyle w:val="27"/>
              <w:adjustRightInd w:val="0"/>
              <w:snapToGrid w:val="0"/>
              <w:spacing w:line="360" w:lineRule="auto"/>
              <w:ind w:firstLine="480"/>
              <w:rPr>
                <w:rFonts w:ascii="Times New Roman" w:hAnsi="Times New Roman" w:cs="Times New Roman"/>
                <w:kern w:val="0"/>
                <w:szCs w:val="24"/>
              </w:rPr>
            </w:pPr>
            <w:r>
              <w:rPr>
                <w:rFonts w:hint="eastAsia" w:ascii="Times New Roman" w:hAnsi="Times New Roman" w:cs="Times New Roman"/>
                <w:kern w:val="0"/>
                <w:szCs w:val="24"/>
              </w:rPr>
              <w:t>现有项目整改后</w:t>
            </w:r>
            <w:r>
              <w:rPr>
                <w:rFonts w:ascii="Times New Roman" w:hAnsi="Times New Roman" w:cs="Times New Roman"/>
                <w:kern w:val="0"/>
                <w:szCs w:val="24"/>
              </w:rPr>
              <w:t>焊接、打磨工序颗粒物产生量共计为</w:t>
            </w:r>
            <w:r>
              <w:rPr>
                <w:rFonts w:hint="eastAsia" w:ascii="Times New Roman" w:hAnsi="Times New Roman" w:cs="Times New Roman"/>
                <w:kern w:val="0"/>
                <w:szCs w:val="24"/>
              </w:rPr>
              <w:t>0.007t</w:t>
            </w:r>
            <w:r>
              <w:rPr>
                <w:rFonts w:ascii="Times New Roman" w:hAnsi="Times New Roman" w:cs="Times New Roman"/>
                <w:kern w:val="0"/>
                <w:szCs w:val="24"/>
              </w:rPr>
              <w:t>/a。</w:t>
            </w:r>
            <w:r>
              <w:rPr>
                <w:rFonts w:hint="eastAsia" w:ascii="Times New Roman" w:hAnsi="Times New Roman" w:cs="Times New Roman"/>
                <w:kern w:val="0"/>
                <w:szCs w:val="24"/>
              </w:rPr>
              <w:t>扩建项目下料、焊接、打磨颗粒物产生量共计0.055t/a，二者共计0.062t/a。</w:t>
            </w:r>
            <w:r>
              <w:rPr>
                <w:rFonts w:ascii="Times New Roman" w:hAnsi="Times New Roman" w:cs="Times New Roman"/>
                <w:b/>
                <w:bCs/>
                <w:kern w:val="0"/>
                <w:szCs w:val="24"/>
                <w:u w:val="single"/>
              </w:rPr>
              <w:t>评价</w:t>
            </w:r>
            <w:r>
              <w:rPr>
                <w:rFonts w:hint="eastAsia" w:ascii="Times New Roman" w:hAnsi="Times New Roman" w:cs="Times New Roman"/>
                <w:b/>
                <w:bCs/>
                <w:kern w:val="0"/>
                <w:szCs w:val="24"/>
                <w:u w:val="single"/>
              </w:rPr>
              <w:t>提出现有项目整改后与扩建项目进行一并验收，项目建成后，</w:t>
            </w:r>
            <w:r>
              <w:rPr>
                <w:rFonts w:ascii="Times New Roman" w:hAnsi="Times New Roman" w:cs="Times New Roman"/>
                <w:b/>
                <w:bCs/>
                <w:kern w:val="0"/>
                <w:szCs w:val="24"/>
                <w:u w:val="single"/>
              </w:rPr>
              <w:t>工程</w:t>
            </w:r>
            <w:r>
              <w:rPr>
                <w:rFonts w:hint="eastAsia" w:ascii="Times New Roman" w:hAnsi="Times New Roman" w:cs="Times New Roman"/>
                <w:b/>
                <w:bCs/>
                <w:kern w:val="0"/>
                <w:szCs w:val="24"/>
                <w:u w:val="single"/>
              </w:rPr>
              <w:t>下料工序共设置1个固定工位，焊接、打磨工序共设置1个固定工位，共计2个固定工位，工序侧方分别采用集气罩（共计2个）收集废气，收集的废气引致1套脉冲式袋式除尘器治理后，尾气通过1根15m高排气筒排放。</w:t>
            </w:r>
          </w:p>
          <w:p>
            <w:pPr>
              <w:pStyle w:val="27"/>
              <w:adjustRightInd w:val="0"/>
              <w:snapToGrid w:val="0"/>
              <w:spacing w:line="360" w:lineRule="auto"/>
              <w:ind w:firstLine="480"/>
              <w:rPr>
                <w:rFonts w:ascii="Times New Roman" w:hAnsi="Times New Roman" w:cs="Times New Roman"/>
                <w:kern w:val="0"/>
                <w:szCs w:val="24"/>
              </w:rPr>
            </w:pPr>
            <w:r>
              <w:rPr>
                <w:rFonts w:hint="eastAsia" w:ascii="Times New Roman" w:hAnsi="Times New Roman" w:cs="Times New Roman"/>
                <w:kern w:val="0"/>
                <w:szCs w:val="24"/>
              </w:rPr>
              <w:t>根据计算，</w:t>
            </w:r>
            <w:r>
              <w:rPr>
                <w:rFonts w:ascii="Times New Roman" w:hAnsi="Times New Roman" w:cs="Times New Roman"/>
                <w:kern w:val="0"/>
                <w:szCs w:val="24"/>
              </w:rPr>
              <w:t>除尘器进口处颗粒物产生量为</w:t>
            </w:r>
            <w:r>
              <w:rPr>
                <w:rFonts w:hint="eastAsia" w:ascii="Times New Roman" w:hAnsi="Times New Roman" w:cs="Times New Roman"/>
                <w:kern w:val="0"/>
                <w:szCs w:val="24"/>
              </w:rPr>
              <w:t>0.062</w:t>
            </w:r>
            <w:r>
              <w:rPr>
                <w:rFonts w:ascii="Times New Roman" w:hAnsi="Times New Roman" w:cs="Times New Roman"/>
                <w:kern w:val="0"/>
                <w:szCs w:val="24"/>
              </w:rPr>
              <w:t>t/a，</w:t>
            </w:r>
            <w:r>
              <w:rPr>
                <w:rFonts w:hint="eastAsia" w:ascii="Times New Roman" w:hAnsi="Times New Roman" w:cs="Times New Roman"/>
                <w:kern w:val="0"/>
                <w:szCs w:val="24"/>
              </w:rPr>
              <w:t>设颗粒物产生过程中，经集气罩收集后仍有10%以无组织的形式散失，</w:t>
            </w:r>
            <w:r>
              <w:rPr>
                <w:rFonts w:ascii="Times New Roman" w:hAnsi="Times New Roman" w:cs="Times New Roman"/>
                <w:kern w:val="0"/>
                <w:szCs w:val="24"/>
              </w:rPr>
              <w:t>除尘器风机设计风量为</w:t>
            </w:r>
            <w:r>
              <w:rPr>
                <w:rFonts w:hint="eastAsia" w:ascii="Times New Roman" w:hAnsi="Times New Roman" w:cs="Times New Roman"/>
                <w:kern w:val="0"/>
                <w:szCs w:val="24"/>
              </w:rPr>
              <w:t>4</w:t>
            </w:r>
            <w:r>
              <w:rPr>
                <w:rFonts w:ascii="Times New Roman" w:hAnsi="Times New Roman" w:cs="Times New Roman"/>
                <w:kern w:val="0"/>
                <w:szCs w:val="24"/>
              </w:rPr>
              <w:t>000m</w:t>
            </w:r>
            <w:r>
              <w:rPr>
                <w:rFonts w:ascii="Times New Roman" w:hAnsi="Times New Roman" w:cs="Times New Roman"/>
                <w:kern w:val="0"/>
                <w:szCs w:val="24"/>
                <w:vertAlign w:val="superscript"/>
              </w:rPr>
              <w:t>3</w:t>
            </w:r>
            <w:r>
              <w:rPr>
                <w:rFonts w:ascii="Times New Roman" w:hAnsi="Times New Roman" w:cs="Times New Roman"/>
                <w:kern w:val="0"/>
                <w:szCs w:val="24"/>
              </w:rPr>
              <w:t>/h</w:t>
            </w:r>
            <w:r>
              <w:rPr>
                <w:rFonts w:hint="eastAsia" w:ascii="Times New Roman" w:hAnsi="Times New Roman" w:cs="Times New Roman"/>
                <w:kern w:val="0"/>
                <w:szCs w:val="24"/>
              </w:rPr>
              <w:t>，年工作时间为600h</w:t>
            </w:r>
            <w:r>
              <w:rPr>
                <w:rFonts w:ascii="Times New Roman" w:hAnsi="Times New Roman" w:cs="Times New Roman"/>
                <w:kern w:val="0"/>
                <w:szCs w:val="24"/>
              </w:rPr>
              <w:t>，则除尘器进口颗粒物</w:t>
            </w:r>
            <w:r>
              <w:rPr>
                <w:rFonts w:hint="eastAsia" w:ascii="Times New Roman" w:hAnsi="Times New Roman" w:cs="Times New Roman"/>
                <w:kern w:val="0"/>
                <w:szCs w:val="24"/>
              </w:rPr>
              <w:t xml:space="preserve">产生量为0.0558 </w:t>
            </w:r>
            <w:r>
              <w:rPr>
                <w:rFonts w:ascii="Times New Roman" w:hAnsi="Times New Roman" w:cs="Times New Roman"/>
                <w:kern w:val="0"/>
                <w:szCs w:val="24"/>
              </w:rPr>
              <w:t>t/a</w:t>
            </w:r>
            <w:r>
              <w:rPr>
                <w:rFonts w:hint="eastAsia" w:ascii="Times New Roman" w:hAnsi="Times New Roman" w:cs="Times New Roman"/>
                <w:kern w:val="0"/>
                <w:szCs w:val="24"/>
              </w:rPr>
              <w:t>，产生速率为0.093kg/h，</w:t>
            </w:r>
            <w:r>
              <w:rPr>
                <w:rFonts w:ascii="Times New Roman" w:hAnsi="Times New Roman" w:cs="Times New Roman"/>
                <w:kern w:val="0"/>
                <w:szCs w:val="24"/>
              </w:rPr>
              <w:t>产生浓度为</w:t>
            </w:r>
            <w:r>
              <w:rPr>
                <w:rFonts w:hint="eastAsia" w:ascii="Times New Roman" w:hAnsi="Times New Roman" w:cs="Times New Roman"/>
                <w:kern w:val="0"/>
                <w:szCs w:val="24"/>
              </w:rPr>
              <w:t>23.25</w:t>
            </w:r>
            <w:r>
              <w:rPr>
                <w:rFonts w:ascii="Times New Roman" w:hAnsi="Times New Roman" w:cs="Times New Roman"/>
                <w:kern w:val="0"/>
                <w:szCs w:val="24"/>
              </w:rPr>
              <w:t>mg/m</w:t>
            </w:r>
            <w:r>
              <w:rPr>
                <w:rFonts w:ascii="Times New Roman" w:hAnsi="Times New Roman" w:cs="Times New Roman"/>
                <w:kern w:val="0"/>
                <w:szCs w:val="24"/>
                <w:vertAlign w:val="superscript"/>
              </w:rPr>
              <w:t>3</w:t>
            </w:r>
            <w:r>
              <w:rPr>
                <w:rFonts w:ascii="Times New Roman" w:hAnsi="Times New Roman" w:cs="Times New Roman"/>
                <w:kern w:val="0"/>
                <w:szCs w:val="24"/>
              </w:rPr>
              <w:t>，</w:t>
            </w:r>
            <w:r>
              <w:rPr>
                <w:rFonts w:hint="eastAsia" w:ascii="Times New Roman" w:hAnsi="Times New Roman" w:cs="Times New Roman"/>
                <w:kern w:val="0"/>
                <w:szCs w:val="24"/>
              </w:rPr>
              <w:t>脉冲-袋式除尘器</w:t>
            </w:r>
            <w:r>
              <w:rPr>
                <w:rFonts w:ascii="Times New Roman" w:hAnsi="Times New Roman" w:cs="Times New Roman"/>
                <w:kern w:val="0"/>
                <w:szCs w:val="24"/>
              </w:rPr>
              <w:t>对颗粒物去除效率为</w:t>
            </w:r>
            <w:r>
              <w:rPr>
                <w:rFonts w:hint="eastAsia" w:ascii="Times New Roman" w:hAnsi="Times New Roman" w:cs="Times New Roman"/>
                <w:kern w:val="0"/>
                <w:szCs w:val="24"/>
              </w:rPr>
              <w:t>90</w:t>
            </w:r>
            <w:r>
              <w:rPr>
                <w:rFonts w:ascii="Times New Roman" w:hAnsi="Times New Roman" w:cs="Times New Roman"/>
                <w:kern w:val="0"/>
                <w:szCs w:val="24"/>
              </w:rPr>
              <w:t>%，处理后的颗粒物最大排放速率为</w:t>
            </w:r>
            <w:r>
              <w:rPr>
                <w:rFonts w:hint="eastAsia" w:ascii="Times New Roman" w:hAnsi="Times New Roman" w:cs="Times New Roman"/>
                <w:kern w:val="0"/>
                <w:szCs w:val="24"/>
              </w:rPr>
              <w:t>0.0093</w:t>
            </w:r>
            <w:r>
              <w:rPr>
                <w:rFonts w:ascii="Times New Roman" w:hAnsi="Times New Roman" w:cs="Times New Roman"/>
                <w:kern w:val="0"/>
                <w:szCs w:val="24"/>
              </w:rPr>
              <w:t>kg/h、</w:t>
            </w:r>
            <w:r>
              <w:rPr>
                <w:rFonts w:hint="eastAsia" w:ascii="Times New Roman" w:hAnsi="Times New Roman" w:cs="Times New Roman"/>
                <w:kern w:val="0"/>
                <w:szCs w:val="24"/>
              </w:rPr>
              <w:t>最大排放量为0.00558</w:t>
            </w:r>
            <w:r>
              <w:rPr>
                <w:rFonts w:ascii="Times New Roman" w:hAnsi="Times New Roman" w:cs="Times New Roman"/>
                <w:kern w:val="0"/>
                <w:szCs w:val="24"/>
              </w:rPr>
              <w:t>t/a，排放浓度为</w:t>
            </w:r>
            <w:r>
              <w:rPr>
                <w:rFonts w:hint="eastAsia" w:ascii="Times New Roman" w:hAnsi="Times New Roman" w:cs="Times New Roman"/>
                <w:kern w:val="0"/>
                <w:szCs w:val="24"/>
              </w:rPr>
              <w:t>2.325</w:t>
            </w:r>
            <w:r>
              <w:rPr>
                <w:rFonts w:ascii="Times New Roman" w:hAnsi="Times New Roman" w:cs="Times New Roman"/>
                <w:kern w:val="0"/>
                <w:szCs w:val="24"/>
              </w:rPr>
              <w:t>mg/m</w:t>
            </w:r>
            <w:r>
              <w:rPr>
                <w:rFonts w:ascii="Times New Roman" w:hAnsi="Times New Roman" w:cs="Times New Roman"/>
                <w:kern w:val="0"/>
                <w:szCs w:val="24"/>
                <w:vertAlign w:val="superscript"/>
              </w:rPr>
              <w:t>3</w:t>
            </w:r>
            <w:r>
              <w:rPr>
                <w:rFonts w:ascii="Times New Roman" w:hAnsi="Times New Roman" w:cs="Times New Roman"/>
                <w:kern w:val="0"/>
                <w:szCs w:val="24"/>
              </w:rPr>
              <w:t>。颗粒物排放浓度</w:t>
            </w:r>
            <w:r>
              <w:rPr>
                <w:rFonts w:hint="eastAsia" w:ascii="Times New Roman" w:hAnsi="Times New Roman" w:cs="Times New Roman"/>
                <w:kern w:val="0"/>
                <w:szCs w:val="24"/>
              </w:rPr>
              <w:t>及排放速率</w:t>
            </w:r>
            <w:r>
              <w:rPr>
                <w:rFonts w:ascii="Times New Roman" w:hAnsi="Times New Roman" w:cs="Times New Roman"/>
                <w:kern w:val="0"/>
                <w:szCs w:val="24"/>
              </w:rPr>
              <w:t>能够满足《大气污染物综合排放标准》（GB16297-1996）表2二级标准要求。</w:t>
            </w:r>
          </w:p>
          <w:p>
            <w:pPr>
              <w:pStyle w:val="27"/>
              <w:adjustRightInd w:val="0"/>
              <w:snapToGrid w:val="0"/>
              <w:spacing w:line="360" w:lineRule="auto"/>
              <w:ind w:firstLine="480"/>
              <w:rPr>
                <w:rFonts w:ascii="Times New Roman" w:hAnsi="Times New Roman" w:cs="Times New Roman"/>
                <w:kern w:val="0"/>
                <w:szCs w:val="24"/>
              </w:rPr>
            </w:pPr>
            <w:r>
              <w:rPr>
                <w:rFonts w:hint="eastAsia" w:ascii="Times New Roman" w:hAnsi="Times New Roman" w:cs="Times New Roman"/>
                <w:kern w:val="0"/>
                <w:szCs w:val="24"/>
              </w:rPr>
              <w:t>具体排放量见表29。</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29</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下料、焊接、打磨工序颗粒物产排情况</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76"/>
              <w:gridCol w:w="790"/>
              <w:gridCol w:w="870"/>
              <w:gridCol w:w="1210"/>
              <w:gridCol w:w="1128"/>
              <w:gridCol w:w="1420"/>
              <w:gridCol w:w="1202"/>
              <w:gridCol w:w="98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563" w:hRule="atLeast"/>
                <w:jc w:val="center"/>
              </w:trPr>
              <w:tc>
                <w:tcPr>
                  <w:tcW w:w="569" w:type="pct"/>
                  <w:vMerge w:val="restart"/>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460" w:type="pct"/>
                  <w:vMerge w:val="restart"/>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工作</w:t>
                  </w:r>
                </w:p>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时间(h/a)</w:t>
                  </w:r>
                </w:p>
              </w:tc>
              <w:tc>
                <w:tcPr>
                  <w:tcW w:w="507" w:type="pct"/>
                  <w:vMerge w:val="restart"/>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风量</w:t>
                  </w:r>
                </w:p>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(m</w:t>
                  </w:r>
                  <w:r>
                    <w:rPr>
                      <w:rFonts w:ascii="Times New Roman" w:hAnsi="Times New Roman" w:cs="Times New Roman"/>
                      <w:b/>
                      <w:bCs/>
                      <w:sz w:val="21"/>
                      <w:szCs w:val="21"/>
                      <w:vertAlign w:val="superscript"/>
                    </w:rPr>
                    <w:t>3</w:t>
                  </w:r>
                  <w:r>
                    <w:rPr>
                      <w:rFonts w:ascii="Times New Roman" w:hAnsi="Times New Roman" w:cs="Times New Roman"/>
                      <w:b/>
                      <w:bCs/>
                      <w:sz w:val="21"/>
                      <w:szCs w:val="21"/>
                    </w:rPr>
                    <w:t>/h)</w:t>
                  </w:r>
                </w:p>
              </w:tc>
              <w:tc>
                <w:tcPr>
                  <w:tcW w:w="1360" w:type="pct"/>
                  <w:gridSpan w:val="2"/>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产生情况</w:t>
                  </w:r>
                </w:p>
              </w:tc>
              <w:tc>
                <w:tcPr>
                  <w:tcW w:w="2100" w:type="pct"/>
                  <w:gridSpan w:val="3"/>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排放情况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1119" w:hRule="atLeast"/>
                <w:jc w:val="center"/>
              </w:trPr>
              <w:tc>
                <w:tcPr>
                  <w:tcW w:w="569" w:type="pct"/>
                  <w:vMerge w:val="continue"/>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b/>
                      <w:bCs/>
                      <w:sz w:val="21"/>
                      <w:szCs w:val="21"/>
                    </w:rPr>
                  </w:pPr>
                </w:p>
              </w:tc>
              <w:tc>
                <w:tcPr>
                  <w:tcW w:w="460" w:type="pct"/>
                  <w:vMerge w:val="continue"/>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b/>
                      <w:bCs/>
                      <w:sz w:val="21"/>
                      <w:szCs w:val="21"/>
                    </w:rPr>
                  </w:pPr>
                </w:p>
              </w:tc>
              <w:tc>
                <w:tcPr>
                  <w:tcW w:w="507" w:type="pct"/>
                  <w:vMerge w:val="continue"/>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b/>
                      <w:bCs/>
                      <w:sz w:val="21"/>
                      <w:szCs w:val="21"/>
                    </w:rPr>
                  </w:pPr>
                </w:p>
              </w:tc>
              <w:tc>
                <w:tcPr>
                  <w:tcW w:w="704" w:type="pct"/>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有组织产生量（t/a）</w:t>
                  </w:r>
                </w:p>
              </w:tc>
              <w:tc>
                <w:tcPr>
                  <w:tcW w:w="656" w:type="pct"/>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产生浓度（mg/m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c>
                <w:tcPr>
                  <w:tcW w:w="826" w:type="pct"/>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有组织排放量（t/a）</w:t>
                  </w:r>
                </w:p>
              </w:tc>
              <w:tc>
                <w:tcPr>
                  <w:tcW w:w="699" w:type="pct"/>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排放浓度(mg/m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c>
                <w:tcPr>
                  <w:tcW w:w="574" w:type="pct"/>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无组织排放量（t/a）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trHeight w:val="1334" w:hRule="atLeast"/>
                <w:jc w:val="center"/>
              </w:trPr>
              <w:tc>
                <w:tcPr>
                  <w:tcW w:w="569" w:type="pc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下料、焊接、打磨工序</w:t>
                  </w:r>
                </w:p>
              </w:tc>
              <w:tc>
                <w:tcPr>
                  <w:tcW w:w="460" w:type="pc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600</w:t>
                  </w:r>
                </w:p>
              </w:tc>
              <w:tc>
                <w:tcPr>
                  <w:tcW w:w="507" w:type="pc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4000</w:t>
                  </w:r>
                </w:p>
              </w:tc>
              <w:tc>
                <w:tcPr>
                  <w:tcW w:w="704" w:type="pc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0.0558</w:t>
                  </w:r>
                </w:p>
              </w:tc>
              <w:tc>
                <w:tcPr>
                  <w:tcW w:w="656" w:type="pc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23.25</w:t>
                  </w:r>
                </w:p>
              </w:tc>
              <w:tc>
                <w:tcPr>
                  <w:tcW w:w="826" w:type="pc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0.00558</w:t>
                  </w:r>
                </w:p>
              </w:tc>
              <w:tc>
                <w:tcPr>
                  <w:tcW w:w="699" w:type="pc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2.325</w:t>
                  </w:r>
                </w:p>
              </w:tc>
              <w:tc>
                <w:tcPr>
                  <w:tcW w:w="574" w:type="pc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0.0062</w:t>
                  </w:r>
                </w:p>
              </w:tc>
            </w:tr>
          </w:tbl>
          <w:p>
            <w:pPr>
              <w:pStyle w:val="27"/>
              <w:adjustRightInd w:val="0"/>
              <w:snapToGrid w:val="0"/>
              <w:spacing w:line="360" w:lineRule="auto"/>
              <w:ind w:firstLine="480"/>
              <w:rPr>
                <w:rFonts w:ascii="Times New Roman" w:hAnsi="Times New Roman" w:cs="Times New Roman"/>
                <w:szCs w:val="24"/>
              </w:rPr>
            </w:pPr>
          </w:p>
          <w:p>
            <w:pPr>
              <w:pStyle w:val="27"/>
              <w:adjustRightInd w:val="0"/>
              <w:snapToGrid w:val="0"/>
              <w:spacing w:line="360" w:lineRule="auto"/>
              <w:ind w:firstLine="480"/>
              <w:rPr>
                <w:rFonts w:ascii="Times New Roman" w:hAnsi="Times New Roman" w:cs="Times New Roman"/>
                <w:szCs w:val="24"/>
              </w:rPr>
            </w:pPr>
            <w:r>
              <w:rPr>
                <w:rFonts w:hint="eastAsia" w:ascii="Times New Roman" w:hAnsi="Times New Roman" w:cs="Times New Roman"/>
                <w:szCs w:val="24"/>
              </w:rPr>
              <w:t>（2）食堂油烟</w:t>
            </w:r>
          </w:p>
          <w:p>
            <w:pPr>
              <w:pStyle w:val="27"/>
              <w:adjustRightInd w:val="0"/>
              <w:snapToGrid w:val="0"/>
              <w:spacing w:line="360" w:lineRule="auto"/>
              <w:ind w:firstLine="480"/>
              <w:rPr>
                <w:rFonts w:ascii="Times New Roman" w:hAnsi="Times New Roman" w:cs="Times New Roman"/>
                <w:szCs w:val="24"/>
              </w:rPr>
            </w:pPr>
            <w:r>
              <w:rPr>
                <w:rFonts w:ascii="Times New Roman" w:hAnsi="Times New Roman" w:cs="Times New Roman"/>
                <w:szCs w:val="24"/>
              </w:rPr>
              <w:t>项目营运期间食堂油烟废气统一收集后引至油烟净化设备净化处理后</w:t>
            </w:r>
            <w:r>
              <w:rPr>
                <w:rFonts w:hint="eastAsia" w:ascii="Times New Roman" w:hAnsi="Times New Roman" w:cs="Times New Roman"/>
                <w:szCs w:val="24"/>
              </w:rPr>
              <w:t>引致楼房侧面</w:t>
            </w:r>
            <w:r>
              <w:rPr>
                <w:rFonts w:ascii="Times New Roman" w:hAnsi="Times New Roman" w:cs="Times New Roman"/>
                <w:szCs w:val="24"/>
              </w:rPr>
              <w:t>排放</w:t>
            </w:r>
            <w:r>
              <w:rPr>
                <w:rFonts w:hint="eastAsia" w:ascii="Times New Roman" w:hAnsi="Times New Roman" w:cs="Times New Roman"/>
                <w:szCs w:val="24"/>
              </w:rPr>
              <w:t>，</w:t>
            </w:r>
            <w:r>
              <w:rPr>
                <w:rFonts w:ascii="Times New Roman" w:hAnsi="Times New Roman" w:cs="Times New Roman"/>
                <w:szCs w:val="24"/>
              </w:rPr>
              <w:t>油烟收集效率为90%，油烟处理效率可达到9</w:t>
            </w:r>
            <w:r>
              <w:rPr>
                <w:rFonts w:hint="eastAsia" w:ascii="Times New Roman" w:hAnsi="Times New Roman" w:cs="Times New Roman"/>
                <w:szCs w:val="24"/>
              </w:rPr>
              <w:t xml:space="preserve">0 </w:t>
            </w:r>
            <w:r>
              <w:rPr>
                <w:rFonts w:ascii="Times New Roman" w:hAnsi="Times New Roman" w:cs="Times New Roman"/>
                <w:szCs w:val="24"/>
              </w:rPr>
              <w:t>%以上，则项目食堂油烟有组织油烟产生量为9.3069kg/a，产生速率为0.01551 kg/h，浓度为6.2046mg/m</w:t>
            </w:r>
            <w:r>
              <w:rPr>
                <w:rFonts w:ascii="Times New Roman" w:hAnsi="Times New Roman" w:cs="Times New Roman"/>
                <w:szCs w:val="24"/>
                <w:vertAlign w:val="superscript"/>
              </w:rPr>
              <w:t>3</w:t>
            </w:r>
            <w:r>
              <w:rPr>
                <w:rFonts w:ascii="Times New Roman" w:hAnsi="Times New Roman" w:cs="Times New Roman"/>
                <w:szCs w:val="24"/>
              </w:rPr>
              <w:t>。经油烟净化措施处理后油烟有组织排放量为0.</w:t>
            </w:r>
            <w:r>
              <w:rPr>
                <w:rFonts w:hint="eastAsia" w:ascii="Times New Roman" w:hAnsi="Times New Roman" w:cs="Times New Roman"/>
                <w:szCs w:val="24"/>
              </w:rPr>
              <w:t>9307</w:t>
            </w:r>
            <w:r>
              <w:rPr>
                <w:rFonts w:ascii="Times New Roman" w:hAnsi="Times New Roman" w:cs="Times New Roman"/>
                <w:szCs w:val="24"/>
              </w:rPr>
              <w:t>kg/a，排放速率为0.00</w:t>
            </w:r>
            <w:r>
              <w:rPr>
                <w:rFonts w:hint="eastAsia" w:ascii="Times New Roman" w:hAnsi="Times New Roman" w:cs="Times New Roman"/>
                <w:szCs w:val="24"/>
              </w:rPr>
              <w:t>16</w:t>
            </w:r>
            <w:r>
              <w:rPr>
                <w:rFonts w:ascii="Times New Roman" w:hAnsi="Times New Roman" w:cs="Times New Roman"/>
                <w:szCs w:val="24"/>
              </w:rPr>
              <w:t>kg/h，排放浓度为0.</w:t>
            </w:r>
            <w:r>
              <w:rPr>
                <w:rFonts w:hint="eastAsia" w:ascii="Times New Roman" w:hAnsi="Times New Roman" w:cs="Times New Roman"/>
                <w:szCs w:val="24"/>
              </w:rPr>
              <w:t>62</w:t>
            </w:r>
            <w:r>
              <w:rPr>
                <w:rFonts w:ascii="Times New Roman" w:hAnsi="Times New Roman" w:cs="Times New Roman"/>
                <w:szCs w:val="24"/>
              </w:rPr>
              <w:t>mg/</w:t>
            </w:r>
            <w:r>
              <w:rPr>
                <w:rFonts w:hint="eastAsia" w:ascii="Times New Roman" w:hAnsi="Times New Roman" w:cs="Times New Roman"/>
              </w:rPr>
              <w:t>m</w:t>
            </w:r>
            <w:r>
              <w:rPr>
                <w:rFonts w:hint="eastAsia" w:ascii="Times New Roman" w:hAnsi="Times New Roman" w:cs="Times New Roman"/>
                <w:vertAlign w:val="superscript"/>
              </w:rPr>
              <w:t>3</w:t>
            </w:r>
            <w:r>
              <w:rPr>
                <w:rFonts w:hint="eastAsia" w:ascii="Times New Roman" w:hAnsi="Times New Roman" w:cs="Times New Roman"/>
                <w:szCs w:val="24"/>
              </w:rPr>
              <w:t>。</w:t>
            </w:r>
          </w:p>
          <w:p>
            <w:pPr>
              <w:pStyle w:val="27"/>
              <w:adjustRightInd w:val="0"/>
              <w:snapToGrid w:val="0"/>
              <w:spacing w:line="360" w:lineRule="auto"/>
              <w:ind w:firstLine="480"/>
              <w:rPr>
                <w:rFonts w:ascii="Times New Roman" w:hAnsi="Times New Roman" w:cs="Times New Roman"/>
                <w:szCs w:val="24"/>
              </w:rPr>
            </w:pPr>
            <w:r>
              <w:rPr>
                <w:rFonts w:ascii="Times New Roman" w:hAnsi="Times New Roman" w:cs="Times New Roman"/>
                <w:szCs w:val="24"/>
              </w:rPr>
              <w:t>食堂油烟废气统一收集后引至油烟净化设备净化处理后通过</w:t>
            </w:r>
            <w:r>
              <w:rPr>
                <w:rFonts w:hint="eastAsia" w:ascii="Times New Roman" w:hAnsi="Times New Roman" w:cs="Times New Roman"/>
                <w:szCs w:val="24"/>
              </w:rPr>
              <w:t>排气管</w:t>
            </w:r>
            <w:r>
              <w:rPr>
                <w:rFonts w:ascii="Times New Roman" w:hAnsi="Times New Roman" w:cs="Times New Roman"/>
                <w:szCs w:val="24"/>
              </w:rPr>
              <w:t>引致</w:t>
            </w:r>
            <w:r>
              <w:rPr>
                <w:rFonts w:hint="eastAsia" w:ascii="Times New Roman" w:hAnsi="Times New Roman" w:cs="Times New Roman"/>
                <w:szCs w:val="24"/>
              </w:rPr>
              <w:t>楼房侧面排放</w:t>
            </w:r>
            <w:r>
              <w:rPr>
                <w:rFonts w:ascii="Times New Roman" w:hAnsi="Times New Roman" w:cs="Times New Roman"/>
                <w:szCs w:val="24"/>
              </w:rPr>
              <w:t>。满足《河南省餐饮业油烟污染物排放标准》（DB41/1604-2018）和新乡市环境污染防治攻坚战三年行动实施方案（2018-2020年）中</w:t>
            </w:r>
            <w:r>
              <w:rPr>
                <w:rFonts w:hint="eastAsia" w:ascii="Times New Roman" w:hAnsi="Times New Roman" w:cs="Times New Roman"/>
                <w:szCs w:val="24"/>
              </w:rPr>
              <w:t>小</w:t>
            </w:r>
            <w:r>
              <w:rPr>
                <w:rFonts w:ascii="Times New Roman" w:hAnsi="Times New Roman" w:cs="Times New Roman"/>
                <w:szCs w:val="24"/>
              </w:rPr>
              <w:t>型饮食业单位排放浓度（油烟最高允许排放浓度1.</w:t>
            </w:r>
            <w:r>
              <w:rPr>
                <w:rFonts w:hint="eastAsia" w:ascii="Times New Roman" w:hAnsi="Times New Roman" w:cs="Times New Roman"/>
                <w:szCs w:val="24"/>
              </w:rPr>
              <w:t>5</w:t>
            </w:r>
            <w:r>
              <w:rPr>
                <w:rFonts w:ascii="Times New Roman" w:hAnsi="Times New Roman" w:cs="Times New Roman"/>
                <w:szCs w:val="24"/>
              </w:rPr>
              <w:t xml:space="preserve"> mg/m</w:t>
            </w:r>
            <w:r>
              <w:rPr>
                <w:rFonts w:ascii="Times New Roman" w:hAnsi="Times New Roman" w:cs="Times New Roman"/>
                <w:szCs w:val="24"/>
                <w:vertAlign w:val="superscript"/>
              </w:rPr>
              <w:t>3</w:t>
            </w:r>
            <w:r>
              <w:rPr>
                <w:rFonts w:ascii="Times New Roman" w:hAnsi="Times New Roman" w:cs="Times New Roman"/>
                <w:szCs w:val="24"/>
              </w:rPr>
              <w:t>，油烟净化设施去除效率不低于9</w:t>
            </w:r>
            <w:r>
              <w:rPr>
                <w:rFonts w:hint="eastAsia" w:ascii="Times New Roman" w:hAnsi="Times New Roman" w:cs="Times New Roman"/>
                <w:szCs w:val="24"/>
              </w:rPr>
              <w:t>0</w:t>
            </w:r>
            <w:r>
              <w:rPr>
                <w:rFonts w:ascii="Times New Roman" w:hAnsi="Times New Roman" w:cs="Times New Roman"/>
                <w:szCs w:val="24"/>
              </w:rPr>
              <w:t>%）的要求。</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1.4大气环境影响预测</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根据《环境影响评价技术导则 大气环境》(HJ2.2-2018)相关要求，对本项目大气环境影响进行预测分析。</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（1）评价因子筛选</w:t>
            </w:r>
          </w:p>
          <w:p>
            <w:pPr>
              <w:adjustRightInd w:val="0"/>
              <w:snapToGri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根据工程分析和污染源调查确定的评价因子，选取有环境空气质量标准的评价因子作为预测因子，确定本项目的预测因子为PM</w:t>
            </w:r>
            <w:r>
              <w:rPr>
                <w:rFonts w:ascii="Times New Roman" w:hAnsi="Times New Roman" w:cs="Times New Roman"/>
                <w:kern w:val="0"/>
                <w:sz w:val="24"/>
                <w:szCs w:val="24"/>
                <w:vertAlign w:val="subscript"/>
              </w:rPr>
              <w:t>10</w:t>
            </w:r>
            <w:r>
              <w:rPr>
                <w:rFonts w:ascii="Times New Roman" w:hAnsi="Times New Roman" w:cs="Times New Roman"/>
                <w:kern w:val="0"/>
                <w:sz w:val="24"/>
                <w:szCs w:val="24"/>
              </w:rPr>
              <w:t>。</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（2）评价标准</w:t>
            </w:r>
          </w:p>
          <w:p>
            <w:pPr>
              <w:adjustRightInd w:val="0"/>
              <w:snapToGri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本次评价执行标准具体见</w:t>
            </w:r>
            <w:r>
              <w:rPr>
                <w:rFonts w:hint="eastAsia" w:ascii="Times New Roman" w:hAnsi="Times New Roman" w:cs="Times New Roman"/>
                <w:kern w:val="0"/>
                <w:sz w:val="24"/>
                <w:szCs w:val="24"/>
              </w:rPr>
              <w:t>表30</w:t>
            </w:r>
            <w:r>
              <w:rPr>
                <w:rFonts w:ascii="Times New Roman" w:hAnsi="Times New Roman" w:cs="Times New Roman"/>
                <w:kern w:val="0"/>
                <w:sz w:val="24"/>
                <w:szCs w:val="24"/>
              </w:rPr>
              <w:t>。</w:t>
            </w:r>
          </w:p>
          <w:p>
            <w:pPr>
              <w:pStyle w:val="10"/>
              <w:adjustRightInd w:val="0"/>
              <w:snapToGrid w:val="0"/>
              <w:spacing w:line="360" w:lineRule="auto"/>
              <w:jc w:val="center"/>
              <w:rPr>
                <w:rFonts w:ascii="Times New Roman" w:hAnsi="Times New Roman" w:eastAsia="宋体"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30</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hint="eastAsia" w:ascii="Times New Roman" w:hAnsi="Times New Roman" w:eastAsia="宋体" w:cs="Times New Roman"/>
                <w:b/>
                <w:bCs/>
                <w:sz w:val="22"/>
                <w:szCs w:val="22"/>
              </w:rPr>
              <w:t>评价标准一览表</w:t>
            </w:r>
          </w:p>
          <w:tbl>
            <w:tblPr>
              <w:tblStyle w:val="28"/>
              <w:tblW w:w="85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1335"/>
              <w:gridCol w:w="2447"/>
              <w:gridCol w:w="26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82" w:type="dxa"/>
                  <w:tcBorders>
                    <w:top w:val="single" w:color="auto" w:sz="12" w:space="0"/>
                  </w:tcBorders>
                  <w:vAlign w:val="center"/>
                </w:tcPr>
                <w:p>
                  <w:pPr>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评价因子</w:t>
                  </w:r>
                </w:p>
              </w:tc>
              <w:tc>
                <w:tcPr>
                  <w:tcW w:w="1335" w:type="dxa"/>
                  <w:tcBorders>
                    <w:top w:val="single" w:color="auto" w:sz="12" w:space="0"/>
                  </w:tcBorders>
                  <w:vAlign w:val="center"/>
                </w:tcPr>
                <w:p>
                  <w:pPr>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平均时段</w:t>
                  </w:r>
                </w:p>
              </w:tc>
              <w:tc>
                <w:tcPr>
                  <w:tcW w:w="2447" w:type="dxa"/>
                  <w:tcBorders>
                    <w:top w:val="single" w:color="auto" w:sz="12" w:space="0"/>
                  </w:tcBorders>
                  <w:vAlign w:val="center"/>
                </w:tcPr>
                <w:p>
                  <w:pPr>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标准值（mg/m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c>
                <w:tcPr>
                  <w:tcW w:w="2622" w:type="dxa"/>
                  <w:tcBorders>
                    <w:top w:val="single" w:color="auto" w:sz="12" w:space="0"/>
                  </w:tcBorders>
                  <w:vAlign w:val="center"/>
                </w:tcPr>
                <w:p>
                  <w:pPr>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182" w:type="dxa"/>
                  <w:tcBorders>
                    <w:bottom w:val="single" w:color="auto" w:sz="12" w:space="0"/>
                  </w:tcBorders>
                  <w:vAlign w:val="center"/>
                </w:tcPr>
                <w:p>
                  <w:pPr>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1335" w:type="dxa"/>
                  <w:tcBorders>
                    <w:bottom w:val="single" w:color="auto" w:sz="12" w:space="0"/>
                  </w:tcBorders>
                  <w:vAlign w:val="center"/>
                </w:tcPr>
                <w:p>
                  <w:pPr>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1小时均值</w:t>
                  </w:r>
                </w:p>
              </w:tc>
              <w:tc>
                <w:tcPr>
                  <w:tcW w:w="2447" w:type="dxa"/>
                  <w:tcBorders>
                    <w:bottom w:val="single" w:color="auto" w:sz="12" w:space="0"/>
                  </w:tcBorders>
                  <w:vAlign w:val="center"/>
                </w:tcPr>
                <w:p>
                  <w:pPr>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0.45（取日均值3倍）</w:t>
                  </w:r>
                </w:p>
              </w:tc>
              <w:tc>
                <w:tcPr>
                  <w:tcW w:w="2622" w:type="dxa"/>
                  <w:tcBorders>
                    <w:bottom w:val="single" w:color="auto" w:sz="12" w:space="0"/>
                  </w:tcBorders>
                  <w:vAlign w:val="center"/>
                </w:tcPr>
                <w:p>
                  <w:pPr>
                    <w:tabs>
                      <w:tab w:val="left" w:pos="600"/>
                    </w:tabs>
                    <w:adjustRightInd w:val="0"/>
                    <w:snapToGrid w:val="0"/>
                    <w:spacing w:line="288" w:lineRule="auto"/>
                    <w:jc w:val="center"/>
                    <w:rPr>
                      <w:rFonts w:ascii="Times New Roman" w:hAnsi="Times New Roman" w:eastAsia="Calibri Light" w:cs="Times New Roman"/>
                      <w:sz w:val="21"/>
                      <w:szCs w:val="21"/>
                    </w:rPr>
                  </w:pPr>
                  <w:r>
                    <w:rPr>
                      <w:rFonts w:ascii="Times New Roman" w:hAnsi="Times New Roman" w:cs="Times New Roman"/>
                      <w:sz w:val="21"/>
                      <w:szCs w:val="21"/>
                    </w:rPr>
                    <w:t>《环境空气质量标准》</w:t>
                  </w:r>
                </w:p>
                <w:p>
                  <w:pPr>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（GB3095-2012）二级</w:t>
                  </w:r>
                </w:p>
              </w:tc>
            </w:tr>
          </w:tbl>
          <w:p>
            <w:pPr>
              <w:adjustRightInd w:val="0"/>
              <w:snapToGrid w:val="0"/>
              <w:spacing w:before="190" w:beforeLines="50"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（3）污染源计算清单</w:t>
            </w:r>
          </w:p>
          <w:p>
            <w:pPr>
              <w:widowControl/>
              <w:autoSpaceDE w:val="0"/>
              <w:autoSpaceDN w:val="0"/>
              <w:adjustRightInd w:val="0"/>
              <w:snapToGri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项目废气各污染因子排放参数见</w:t>
            </w:r>
            <w:r>
              <w:rPr>
                <w:rFonts w:hint="eastAsia" w:ascii="Times New Roman" w:hAnsi="Times New Roman" w:cs="Times New Roman"/>
                <w:kern w:val="0"/>
                <w:sz w:val="24"/>
                <w:szCs w:val="24"/>
              </w:rPr>
              <w:t>表31，表32</w:t>
            </w:r>
            <w:r>
              <w:rPr>
                <w:rFonts w:ascii="Times New Roman" w:hAnsi="Times New Roman" w:cs="Times New Roman"/>
                <w:kern w:val="0"/>
                <w:sz w:val="24"/>
                <w:szCs w:val="24"/>
              </w:rPr>
              <w:t>。</w:t>
            </w:r>
          </w:p>
          <w:p>
            <w:pPr>
              <w:pStyle w:val="10"/>
              <w:adjustRightInd w:val="0"/>
              <w:snapToGrid w:val="0"/>
              <w:spacing w:line="360" w:lineRule="auto"/>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31</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本项目</w:t>
            </w:r>
            <w:r>
              <w:rPr>
                <w:rFonts w:ascii="Times New Roman" w:hAnsi="Times New Roman" w:cs="Times New Roman"/>
                <w:b/>
                <w:bCs/>
                <w:sz w:val="22"/>
                <w:szCs w:val="22"/>
              </w:rPr>
              <w:t>点源参数调查清单</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69"/>
              <w:gridCol w:w="770"/>
              <w:gridCol w:w="720"/>
              <w:gridCol w:w="900"/>
              <w:gridCol w:w="717"/>
              <w:gridCol w:w="813"/>
              <w:gridCol w:w="1056"/>
              <w:gridCol w:w="865"/>
              <w:gridCol w:w="755"/>
              <w:gridCol w:w="427"/>
              <w:gridCol w:w="89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669" w:type="dxa"/>
                  <w:vMerge w:val="restar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1490" w:type="dxa"/>
                  <w:gridSpan w:val="2"/>
                  <w:tcBorders>
                    <w:tl2br w:val="nil"/>
                    <w:tr2bl w:val="nil"/>
                  </w:tcBorders>
                  <w:vAlign w:val="center"/>
                </w:tcPr>
                <w:p>
                  <w:pPr>
                    <w:pStyle w:val="12"/>
                    <w:adjustRightInd w:val="0"/>
                    <w:snapToGrid w:val="0"/>
                    <w:spacing w:line="288" w:lineRule="auto"/>
                    <w:jc w:val="center"/>
                    <w:rPr>
                      <w:rFonts w:ascii="Times New Roman" w:hAnsi="Times New Roman"/>
                      <w:bCs/>
                      <w:sz w:val="20"/>
                      <w:szCs w:val="20"/>
                      <w:lang w:eastAsia="zh-CN"/>
                    </w:rPr>
                  </w:pPr>
                  <w:r>
                    <w:rPr>
                      <w:rFonts w:ascii="Times New Roman" w:hAnsi="Times New Roman"/>
                      <w:bCs/>
                      <w:sz w:val="20"/>
                      <w:szCs w:val="20"/>
                      <w:lang w:eastAsia="zh-CN"/>
                    </w:rPr>
                    <w:t>排气筒底部中心坐标/°</w:t>
                  </w:r>
                </w:p>
              </w:tc>
              <w:tc>
                <w:tcPr>
                  <w:tcW w:w="900" w:type="dxa"/>
                  <w:vMerge w:val="restar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排气筒底部海拔高度/m</w:t>
                  </w:r>
                </w:p>
              </w:tc>
              <w:tc>
                <w:tcPr>
                  <w:tcW w:w="717" w:type="dxa"/>
                  <w:vMerge w:val="restar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排气筒</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高度</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（m）</w:t>
                  </w:r>
                </w:p>
              </w:tc>
              <w:tc>
                <w:tcPr>
                  <w:tcW w:w="813" w:type="dxa"/>
                  <w:vMerge w:val="restar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排气筒</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内径</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（m）</w:t>
                  </w:r>
                </w:p>
              </w:tc>
              <w:tc>
                <w:tcPr>
                  <w:tcW w:w="1056" w:type="dxa"/>
                  <w:vMerge w:val="restar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烟气</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流量</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（m</w:t>
                  </w:r>
                  <w:r>
                    <w:rPr>
                      <w:rFonts w:ascii="Times New Roman" w:hAnsi="Times New Roman" w:cs="Times New Roman"/>
                      <w:b/>
                      <w:bCs/>
                      <w:sz w:val="21"/>
                      <w:szCs w:val="21"/>
                      <w:vertAlign w:val="superscript"/>
                    </w:rPr>
                    <w:t>3</w:t>
                  </w:r>
                  <w:r>
                    <w:rPr>
                      <w:rFonts w:ascii="Times New Roman" w:hAnsi="Times New Roman" w:cs="Times New Roman"/>
                      <w:b/>
                      <w:bCs/>
                      <w:sz w:val="21"/>
                      <w:szCs w:val="21"/>
                    </w:rPr>
                    <w:t>/h）</w:t>
                  </w:r>
                </w:p>
              </w:tc>
              <w:tc>
                <w:tcPr>
                  <w:tcW w:w="865" w:type="dxa"/>
                  <w:vMerge w:val="restar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烟气</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出口</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温度</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755" w:type="dxa"/>
                  <w:vMerge w:val="restar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年排放小时数</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（h）</w:t>
                  </w:r>
                </w:p>
              </w:tc>
              <w:tc>
                <w:tcPr>
                  <w:tcW w:w="427" w:type="dxa"/>
                  <w:vMerge w:val="restar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排放</w:t>
                  </w:r>
                </w:p>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工况</w:t>
                  </w:r>
                </w:p>
              </w:tc>
              <w:tc>
                <w:tcPr>
                  <w:tcW w:w="894" w:type="dxa"/>
                  <w:vMerge w:val="restar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污染物排放速率（颗粒物）（kg/h)</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669"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p>
              </w:tc>
              <w:tc>
                <w:tcPr>
                  <w:tcW w:w="770"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0"/>
                      <w:szCs w:val="20"/>
                    </w:rPr>
                  </w:pPr>
                  <w:r>
                    <w:rPr>
                      <w:rFonts w:ascii="Times New Roman" w:hAnsi="Times New Roman" w:cs="Times New Roman"/>
                      <w:sz w:val="20"/>
                      <w:szCs w:val="20"/>
                    </w:rPr>
                    <w:t>X</w:t>
                  </w:r>
                </w:p>
              </w:tc>
              <w:tc>
                <w:tcPr>
                  <w:tcW w:w="720"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0"/>
                      <w:szCs w:val="20"/>
                    </w:rPr>
                  </w:pPr>
                  <w:r>
                    <w:rPr>
                      <w:rFonts w:ascii="Times New Roman" w:hAnsi="Times New Roman" w:cs="Times New Roman"/>
                      <w:sz w:val="20"/>
                      <w:szCs w:val="20"/>
                    </w:rPr>
                    <w:t>Y</w:t>
                  </w:r>
                </w:p>
              </w:tc>
              <w:tc>
                <w:tcPr>
                  <w:tcW w:w="900"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p>
              </w:tc>
              <w:tc>
                <w:tcPr>
                  <w:tcW w:w="717"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p>
              </w:tc>
              <w:tc>
                <w:tcPr>
                  <w:tcW w:w="813"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p>
              </w:tc>
              <w:tc>
                <w:tcPr>
                  <w:tcW w:w="1056"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p>
              </w:tc>
              <w:tc>
                <w:tcPr>
                  <w:tcW w:w="865"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p>
              </w:tc>
              <w:tc>
                <w:tcPr>
                  <w:tcW w:w="755"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p>
              </w:tc>
              <w:tc>
                <w:tcPr>
                  <w:tcW w:w="427"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p>
              </w:tc>
              <w:tc>
                <w:tcPr>
                  <w:tcW w:w="894"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669"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排气筒P1</w:t>
                  </w:r>
                </w:p>
              </w:tc>
              <w:tc>
                <w:tcPr>
                  <w:tcW w:w="770" w:type="dxa"/>
                  <w:tcBorders>
                    <w:tl2br w:val="nil"/>
                    <w:tr2bl w:val="nil"/>
                  </w:tcBorders>
                  <w:vAlign w:val="center"/>
                </w:tcPr>
                <w:p>
                  <w:pPr>
                    <w:adjustRightInd w:val="0"/>
                    <w:snapToGrid w:val="0"/>
                    <w:spacing w:line="288" w:lineRule="auto"/>
                    <w:jc w:val="center"/>
                    <w:rPr>
                      <w:rFonts w:ascii="Times New Roman" w:hAnsi="Times New Roman" w:cs="Times New Roman"/>
                      <w:spacing w:val="-6"/>
                      <w:kern w:val="0"/>
                      <w:sz w:val="20"/>
                      <w:szCs w:val="20"/>
                    </w:rPr>
                  </w:pPr>
                  <w:r>
                    <w:rPr>
                      <w:rFonts w:ascii="Times New Roman" w:hAnsi="Times New Roman" w:cs="Times New Roman"/>
                      <w:spacing w:val="-6"/>
                      <w:kern w:val="0"/>
                      <w:sz w:val="20"/>
                      <w:szCs w:val="20"/>
                    </w:rPr>
                    <w:t>11</w:t>
                  </w:r>
                  <w:r>
                    <w:rPr>
                      <w:rFonts w:hint="eastAsia" w:ascii="Times New Roman" w:hAnsi="Times New Roman" w:cs="Times New Roman"/>
                      <w:spacing w:val="-6"/>
                      <w:kern w:val="0"/>
                      <w:sz w:val="20"/>
                      <w:szCs w:val="20"/>
                    </w:rPr>
                    <w:t>4.06</w:t>
                  </w:r>
                </w:p>
                <w:p>
                  <w:pPr>
                    <w:adjustRightInd w:val="0"/>
                    <w:snapToGrid w:val="0"/>
                    <w:spacing w:line="288" w:lineRule="auto"/>
                    <w:jc w:val="center"/>
                    <w:rPr>
                      <w:rFonts w:ascii="Times New Roman" w:hAnsi="Times New Roman" w:cs="Times New Roman"/>
                      <w:sz w:val="20"/>
                      <w:szCs w:val="20"/>
                    </w:rPr>
                  </w:pPr>
                  <w:r>
                    <w:rPr>
                      <w:rFonts w:hint="eastAsia" w:ascii="Times New Roman" w:hAnsi="Times New Roman" w:cs="Times New Roman"/>
                      <w:spacing w:val="-6"/>
                      <w:kern w:val="0"/>
                      <w:sz w:val="20"/>
                      <w:szCs w:val="20"/>
                    </w:rPr>
                    <w:t>3822</w:t>
                  </w:r>
                </w:p>
              </w:tc>
              <w:tc>
                <w:tcPr>
                  <w:tcW w:w="72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0"/>
                      <w:szCs w:val="20"/>
                    </w:rPr>
                  </w:pPr>
                  <w:r>
                    <w:rPr>
                      <w:rFonts w:ascii="Times New Roman" w:hAnsi="Times New Roman" w:eastAsia="Calibri Light" w:cs="Times New Roman"/>
                      <w:kern w:val="0"/>
                      <w:sz w:val="20"/>
                      <w:szCs w:val="20"/>
                    </w:rPr>
                    <w:t>35.</w:t>
                  </w:r>
                  <w:r>
                    <w:rPr>
                      <w:rFonts w:hint="eastAsia" w:ascii="Times New Roman" w:hAnsi="Times New Roman" w:cs="Times New Roman"/>
                      <w:kern w:val="0"/>
                      <w:sz w:val="20"/>
                      <w:szCs w:val="20"/>
                    </w:rPr>
                    <w:t>28</w:t>
                  </w:r>
                </w:p>
                <w:p>
                  <w:pPr>
                    <w:widowControl/>
                    <w:adjustRightInd w:val="0"/>
                    <w:snapToGrid w:val="0"/>
                    <w:spacing w:line="288" w:lineRule="auto"/>
                    <w:jc w:val="center"/>
                    <w:rPr>
                      <w:rFonts w:ascii="Times New Roman" w:hAnsi="Times New Roman" w:cs="Times New Roman"/>
                      <w:sz w:val="20"/>
                      <w:szCs w:val="20"/>
                    </w:rPr>
                  </w:pPr>
                  <w:r>
                    <w:rPr>
                      <w:rFonts w:hint="eastAsia" w:ascii="Times New Roman" w:hAnsi="Times New Roman" w:cs="Times New Roman"/>
                      <w:kern w:val="0"/>
                      <w:sz w:val="20"/>
                      <w:szCs w:val="20"/>
                    </w:rPr>
                    <w:t>9553</w:t>
                  </w:r>
                </w:p>
              </w:tc>
              <w:tc>
                <w:tcPr>
                  <w:tcW w:w="900" w:type="dxa"/>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kern w:val="0"/>
                      <w:sz w:val="21"/>
                      <w:szCs w:val="21"/>
                    </w:rPr>
                    <w:t>67</w:t>
                  </w:r>
                </w:p>
              </w:tc>
              <w:tc>
                <w:tcPr>
                  <w:tcW w:w="717" w:type="dxa"/>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kern w:val="0"/>
                      <w:sz w:val="21"/>
                      <w:szCs w:val="21"/>
                    </w:rPr>
                    <w:t>15</w:t>
                  </w:r>
                </w:p>
              </w:tc>
              <w:tc>
                <w:tcPr>
                  <w:tcW w:w="813" w:type="dxa"/>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kern w:val="0"/>
                      <w:sz w:val="21"/>
                      <w:szCs w:val="21"/>
                    </w:rPr>
                    <w:t>0.</w:t>
                  </w:r>
                  <w:r>
                    <w:rPr>
                      <w:rFonts w:hint="eastAsia" w:ascii="Times New Roman" w:hAnsi="Times New Roman" w:cs="Times New Roman"/>
                      <w:kern w:val="0"/>
                      <w:sz w:val="21"/>
                      <w:szCs w:val="21"/>
                    </w:rPr>
                    <w:t>4</w:t>
                  </w:r>
                </w:p>
              </w:tc>
              <w:tc>
                <w:tcPr>
                  <w:tcW w:w="1056" w:type="dxa"/>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kern w:val="0"/>
                      <w:sz w:val="21"/>
                      <w:szCs w:val="21"/>
                    </w:rPr>
                    <w:t>4000</w:t>
                  </w:r>
                </w:p>
              </w:tc>
              <w:tc>
                <w:tcPr>
                  <w:tcW w:w="865" w:type="dxa"/>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kern w:val="0"/>
                      <w:sz w:val="21"/>
                      <w:szCs w:val="21"/>
                    </w:rPr>
                    <w:t>25</w:t>
                  </w:r>
                </w:p>
              </w:tc>
              <w:tc>
                <w:tcPr>
                  <w:tcW w:w="755" w:type="dxa"/>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600</w:t>
                  </w:r>
                </w:p>
              </w:tc>
              <w:tc>
                <w:tcPr>
                  <w:tcW w:w="427" w:type="dxa"/>
                  <w:tcBorders>
                    <w:tl2br w:val="nil"/>
                    <w:tr2bl w:val="nil"/>
                  </w:tcBorders>
                  <w:tcMar>
                    <w:top w:w="0" w:type="dxa"/>
                    <w:left w:w="57" w:type="dxa"/>
                    <w:bottom w:w="0" w:type="dxa"/>
                    <w:right w:w="57" w:type="dxa"/>
                  </w:tcMar>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间歇</w:t>
                  </w:r>
                </w:p>
              </w:tc>
              <w:tc>
                <w:tcPr>
                  <w:tcW w:w="894" w:type="dxa"/>
                  <w:tcBorders>
                    <w:tl2br w:val="nil"/>
                    <w:tr2bl w:val="nil"/>
                  </w:tcBorders>
                  <w:tcMar>
                    <w:top w:w="0" w:type="dxa"/>
                    <w:left w:w="57" w:type="dxa"/>
                    <w:bottom w:w="0" w:type="dxa"/>
                    <w:right w:w="57" w:type="dxa"/>
                  </w:tcMar>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0.0093</w:t>
                  </w:r>
                </w:p>
              </w:tc>
            </w:tr>
          </w:tbl>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32</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本项目面源参数表</w:t>
            </w:r>
          </w:p>
          <w:tbl>
            <w:tblPr>
              <w:tblStyle w:val="28"/>
              <w:tblW w:w="493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124"/>
              <w:gridCol w:w="832"/>
              <w:gridCol w:w="730"/>
              <w:gridCol w:w="662"/>
              <w:gridCol w:w="791"/>
              <w:gridCol w:w="791"/>
              <w:gridCol w:w="791"/>
              <w:gridCol w:w="669"/>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356" w:type="pct"/>
                  <w:tcBorders>
                    <w:top w:val="single" w:color="auto" w:sz="8" w:space="0"/>
                    <w:left w:val="nil"/>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编号</w:t>
                  </w:r>
                </w:p>
              </w:tc>
              <w:tc>
                <w:tcPr>
                  <w:tcW w:w="663"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491"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面源海拔高度/m</w:t>
                  </w:r>
                </w:p>
              </w:tc>
              <w:tc>
                <w:tcPr>
                  <w:tcW w:w="431"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面源长度/m</w:t>
                  </w:r>
                </w:p>
              </w:tc>
              <w:tc>
                <w:tcPr>
                  <w:tcW w:w="391"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面源宽度/m</w:t>
                  </w:r>
                </w:p>
              </w:tc>
              <w:tc>
                <w:tcPr>
                  <w:tcW w:w="467"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与正北向夹角/°</w:t>
                  </w:r>
                </w:p>
              </w:tc>
              <w:tc>
                <w:tcPr>
                  <w:tcW w:w="467"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面源有效排放高度</w:t>
                  </w:r>
                </w:p>
              </w:tc>
              <w:tc>
                <w:tcPr>
                  <w:tcW w:w="467"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年排放小时数/h</w:t>
                  </w:r>
                </w:p>
              </w:tc>
              <w:tc>
                <w:tcPr>
                  <w:tcW w:w="395"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排放工况</w:t>
                  </w:r>
                </w:p>
              </w:tc>
              <w:tc>
                <w:tcPr>
                  <w:tcW w:w="869" w:type="pct"/>
                  <w:tcBorders>
                    <w:top w:val="single" w:color="auto" w:sz="8" w:space="0"/>
                    <w:bottom w:val="single" w:color="auto" w:sz="8" w:space="0"/>
                    <w:right w:val="nil"/>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356" w:type="pct"/>
                  <w:tcBorders>
                    <w:top w:val="single" w:color="auto" w:sz="8" w:space="0"/>
                    <w:left w:val="nil"/>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1</w:t>
                  </w:r>
                </w:p>
              </w:tc>
              <w:tc>
                <w:tcPr>
                  <w:tcW w:w="663"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lang w:eastAsia="zh-CN"/>
                    </w:rPr>
                    <w:t>生产车间</w:t>
                  </w:r>
                </w:p>
              </w:tc>
              <w:tc>
                <w:tcPr>
                  <w:tcW w:w="491"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67</w:t>
                  </w:r>
                </w:p>
              </w:tc>
              <w:tc>
                <w:tcPr>
                  <w:tcW w:w="431"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60</w:t>
                  </w:r>
                </w:p>
              </w:tc>
              <w:tc>
                <w:tcPr>
                  <w:tcW w:w="391"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30</w:t>
                  </w:r>
                </w:p>
              </w:tc>
              <w:tc>
                <w:tcPr>
                  <w:tcW w:w="467"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10</w:t>
                  </w:r>
                </w:p>
              </w:tc>
              <w:tc>
                <w:tcPr>
                  <w:tcW w:w="467"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w:t>
                  </w:r>
                </w:p>
              </w:tc>
              <w:tc>
                <w:tcPr>
                  <w:tcW w:w="467"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600</w:t>
                  </w:r>
                </w:p>
              </w:tc>
              <w:tc>
                <w:tcPr>
                  <w:tcW w:w="395" w:type="pct"/>
                  <w:tcBorders>
                    <w:top w:val="single" w:color="auto" w:sz="8" w:space="0"/>
                    <w:bottom w:val="single" w:color="auto" w:sz="8" w:space="0"/>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间歇</w:t>
                  </w:r>
                </w:p>
              </w:tc>
              <w:tc>
                <w:tcPr>
                  <w:tcW w:w="869" w:type="pct"/>
                  <w:tcBorders>
                    <w:top w:val="single" w:color="auto" w:sz="8" w:space="0"/>
                    <w:bottom w:val="single" w:color="auto" w:sz="8" w:space="0"/>
                    <w:right w:val="nil"/>
                  </w:tcBorders>
                  <w:shd w:val="clear" w:color="auto" w:fill="auto"/>
                  <w:vAlign w:val="center"/>
                </w:tcPr>
                <w:p>
                  <w:pPr>
                    <w:widowControl/>
                    <w:autoSpaceDE w:val="0"/>
                    <w:autoSpaceDN w:val="0"/>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0.0103</w:t>
                  </w:r>
                </w:p>
              </w:tc>
            </w:tr>
          </w:tbl>
          <w:p>
            <w:pPr>
              <w:adjustRightInd w:val="0"/>
              <w:snapToGrid w:val="0"/>
              <w:spacing w:before="190" w:beforeLines="50" w:line="360" w:lineRule="auto"/>
              <w:ind w:firstLine="480" w:firstLineChars="200"/>
              <w:jc w:val="left"/>
              <w:rPr>
                <w:rFonts w:ascii="Times New Roman" w:hAnsi="Times New Roman" w:cs="Times New Roman"/>
                <w:kern w:val="0"/>
                <w:sz w:val="24"/>
                <w:szCs w:val="24"/>
              </w:rPr>
            </w:pPr>
            <w:r>
              <w:rPr>
                <w:rFonts w:hint="eastAsia" w:ascii="Times New Roman" w:hAnsi="Times New Roman" w:cs="Times New Roman"/>
                <w:kern w:val="0"/>
                <w:sz w:val="24"/>
                <w:szCs w:val="24"/>
              </w:rPr>
              <w:t>（4）评价等级及范围</w:t>
            </w:r>
          </w:p>
          <w:p>
            <w:pPr>
              <w:adjustRightInd w:val="0"/>
              <w:snapToGrid w:val="0"/>
              <w:spacing w:before="190" w:beforeLines="50" w:line="360" w:lineRule="auto"/>
              <w:ind w:firstLine="480" w:firstLineChars="200"/>
              <w:jc w:val="left"/>
              <w:rPr>
                <w:rFonts w:ascii="Times New Roman" w:hAnsi="Times New Roman" w:cs="Times New Roman"/>
                <w:kern w:val="0"/>
                <w:sz w:val="24"/>
                <w:szCs w:val="24"/>
              </w:rPr>
            </w:pPr>
            <w:r>
              <w:rPr>
                <w:rFonts w:hint="eastAsia" w:ascii="Times New Roman" w:hAnsi="Times New Roman" w:cs="Times New Roman"/>
                <w:kern w:val="0"/>
                <w:sz w:val="24"/>
                <w:szCs w:val="24"/>
              </w:rPr>
              <w:t>本次评价使用《环境影响评价技术导则 大气环境》（HJ/2.2-2018）中推荐的估算模型 AERSCREEN，判定运营期大气环境影响评价等级。根据工程分析，本项目涉及排放的废气主要为颗粒物</w:t>
            </w:r>
            <w:r>
              <w:rPr>
                <w:rFonts w:ascii="Times New Roman" w:hAnsi="Times New Roman" w:cs="Times New Roman"/>
                <w:kern w:val="0"/>
                <w:sz w:val="24"/>
                <w:szCs w:val="24"/>
              </w:rPr>
              <w:t>，估算模型参数表</w:t>
            </w:r>
            <w:r>
              <w:rPr>
                <w:rFonts w:hint="eastAsia" w:ascii="Times New Roman" w:hAnsi="Times New Roman" w:cs="Times New Roman"/>
                <w:kern w:val="0"/>
                <w:sz w:val="24"/>
                <w:szCs w:val="24"/>
              </w:rPr>
              <w:t>33。</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33</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估算模型参数表</w:t>
            </w:r>
          </w:p>
          <w:tbl>
            <w:tblPr>
              <w:tblStyle w:val="28"/>
              <w:tblW w:w="85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62"/>
              <w:gridCol w:w="2862"/>
              <w:gridCol w:w="2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24" w:type="dxa"/>
                  <w:gridSpan w:val="2"/>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b/>
                      <w:bCs/>
                      <w:kern w:val="0"/>
                      <w:sz w:val="21"/>
                      <w:szCs w:val="21"/>
                    </w:rPr>
                  </w:pPr>
                  <w:r>
                    <w:rPr>
                      <w:rFonts w:ascii="Times New Roman" w:hAnsi="Times New Roman" w:cs="Times New Roman"/>
                      <w:b/>
                      <w:bCs/>
                      <w:kern w:val="0"/>
                      <w:sz w:val="21"/>
                      <w:szCs w:val="21"/>
                    </w:rPr>
                    <w:t>参数</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b/>
                      <w:bCs/>
                      <w:kern w:val="0"/>
                      <w:sz w:val="21"/>
                      <w:szCs w:val="21"/>
                    </w:rPr>
                  </w:pPr>
                  <w:r>
                    <w:rPr>
                      <w:rFonts w:ascii="Times New Roman" w:hAnsi="Times New Roman" w:cs="Times New Roman"/>
                      <w:b/>
                      <w:bCs/>
                      <w:kern w:val="0"/>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2" w:type="dxa"/>
                  <w:vMerge w:val="restart"/>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城市</w:t>
                  </w:r>
                  <w:r>
                    <w:rPr>
                      <w:rFonts w:ascii="Times New Roman" w:hAnsi="Times New Roman" w:eastAsia="Calibri Light" w:cs="Times New Roman"/>
                      <w:kern w:val="0"/>
                      <w:sz w:val="21"/>
                      <w:szCs w:val="21"/>
                    </w:rPr>
                    <w:t>/</w:t>
                  </w:r>
                  <w:r>
                    <w:rPr>
                      <w:rFonts w:ascii="Times New Roman" w:hAnsi="Times New Roman" w:cs="Times New Roman"/>
                      <w:kern w:val="0"/>
                      <w:sz w:val="21"/>
                      <w:szCs w:val="21"/>
                    </w:rPr>
                    <w:t>农村选项</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城市</w:t>
                  </w:r>
                  <w:r>
                    <w:rPr>
                      <w:rFonts w:ascii="Times New Roman" w:hAnsi="Times New Roman" w:eastAsia="Calibri Light" w:cs="Times New Roman"/>
                      <w:kern w:val="0"/>
                      <w:sz w:val="21"/>
                      <w:szCs w:val="21"/>
                    </w:rPr>
                    <w:t>/</w:t>
                  </w:r>
                  <w:r>
                    <w:rPr>
                      <w:rFonts w:ascii="Times New Roman" w:hAnsi="Times New Roman" w:cs="Times New Roman"/>
                      <w:kern w:val="0"/>
                      <w:sz w:val="21"/>
                      <w:szCs w:val="21"/>
                    </w:rPr>
                    <w:t>农村</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cs="Times New Roman"/>
                      <w:kern w:val="0"/>
                      <w:sz w:val="21"/>
                      <w:szCs w:val="21"/>
                    </w:rPr>
                  </w:pPr>
                  <w:r>
                    <w:rPr>
                      <w:rFonts w:hint="eastAsia" w:ascii="Times New Roman" w:hAnsi="Times New Roman" w:cs="Times New Roman"/>
                      <w:kern w:val="0"/>
                      <w:sz w:val="21"/>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2" w:type="dxa"/>
                  <w:vMerge w:val="continue"/>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人口数（城市选项时）</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cs="Times New Roman"/>
                      <w:kern w:val="0"/>
                      <w:sz w:val="21"/>
                      <w:szCs w:val="21"/>
                    </w:rPr>
                  </w:pPr>
                  <w:r>
                    <w:rPr>
                      <w:rFonts w:hint="eastAsia" w:ascii="Times New Roman" w:hAnsi="Times New Roman" w:cs="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24" w:type="dxa"/>
                  <w:gridSpan w:val="2"/>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最高环境温度</w:t>
                  </w:r>
                  <w:r>
                    <w:rPr>
                      <w:rFonts w:ascii="Times New Roman" w:hAnsi="Times New Roman" w:eastAsia="Calibri Light" w:cs="Times New Roman"/>
                      <w:kern w:val="0"/>
                      <w:sz w:val="21"/>
                      <w:szCs w:val="21"/>
                    </w:rPr>
                    <w:t>/</w:t>
                  </w:r>
                  <w:r>
                    <w:rPr>
                      <w:rFonts w:hint="eastAsia" w:ascii="宋体" w:hAnsi="宋体" w:cs="宋体"/>
                      <w:kern w:val="0"/>
                      <w:sz w:val="21"/>
                      <w:szCs w:val="21"/>
                    </w:rPr>
                    <w:t>℃</w:t>
                  </w:r>
                </w:p>
              </w:tc>
              <w:tc>
                <w:tcPr>
                  <w:tcW w:w="2862" w:type="dxa"/>
                  <w:tcBorders>
                    <w:tl2br w:val="nil"/>
                    <w:tr2bl w:val="nil"/>
                  </w:tcBorders>
                  <w:vAlign w:val="center"/>
                </w:tcPr>
                <w:p>
                  <w:pPr>
                    <w:jc w:val="center"/>
                    <w:rPr>
                      <w:rFonts w:ascii="Times New Roman" w:hAnsi="Times New Roman" w:cs="Times New Roman" w:eastAsiaTheme="minorEastAsia"/>
                      <w:sz w:val="21"/>
                      <w:szCs w:val="21"/>
                    </w:rPr>
                  </w:pPr>
                  <w:r>
                    <w:rPr>
                      <w:rFonts w:hint="eastAsia" w:ascii="Times New Roman" w:hAnsi="Times New Roman" w:cs="Times New Roman"/>
                      <w:sz w:val="21"/>
                      <w:szCs w:val="21"/>
                    </w:rPr>
                    <w:t>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24" w:type="dxa"/>
                  <w:gridSpan w:val="2"/>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最低环境温度</w:t>
                  </w:r>
                  <w:r>
                    <w:rPr>
                      <w:rFonts w:ascii="Times New Roman" w:hAnsi="Times New Roman" w:eastAsia="Calibri Light" w:cs="Times New Roman"/>
                      <w:kern w:val="0"/>
                      <w:sz w:val="21"/>
                      <w:szCs w:val="21"/>
                    </w:rPr>
                    <w:t>/</w:t>
                  </w:r>
                  <w:r>
                    <w:rPr>
                      <w:rFonts w:hint="eastAsia" w:ascii="宋体" w:hAnsi="宋体" w:cs="宋体"/>
                      <w:kern w:val="0"/>
                      <w:sz w:val="21"/>
                      <w:szCs w:val="21"/>
                    </w:rPr>
                    <w:t>℃</w:t>
                  </w:r>
                </w:p>
              </w:tc>
              <w:tc>
                <w:tcPr>
                  <w:tcW w:w="2862" w:type="dxa"/>
                  <w:tcBorders>
                    <w:tl2br w:val="nil"/>
                    <w:tr2bl w:val="nil"/>
                  </w:tcBorders>
                  <w:vAlign w:val="center"/>
                </w:tcPr>
                <w:p>
                  <w:pPr>
                    <w:jc w:val="center"/>
                    <w:rPr>
                      <w:rFonts w:ascii="Times New Roman" w:hAnsi="Times New Roman" w:cs="Times New Roman"/>
                      <w:sz w:val="21"/>
                      <w:szCs w:val="21"/>
                    </w:rPr>
                  </w:pPr>
                  <w:r>
                    <w:rPr>
                      <w:rFonts w:ascii="Times New Roman" w:hAnsi="Times New Roman" w:eastAsia="Calibri Light" w:cs="Times New Roman"/>
                      <w:sz w:val="21"/>
                      <w:szCs w:val="21"/>
                    </w:rPr>
                    <w:t>-</w:t>
                  </w:r>
                  <w:r>
                    <w:rPr>
                      <w:rFonts w:hint="eastAsia" w:ascii="Times New Roman" w:hAnsi="Times New Roman" w:cs="Times New Roman"/>
                      <w:sz w:val="21"/>
                      <w:szCs w:val="21"/>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24" w:type="dxa"/>
                  <w:gridSpan w:val="2"/>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土地利用类型</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cs="Times New Roman"/>
                      <w:kern w:val="0"/>
                      <w:sz w:val="21"/>
                      <w:szCs w:val="21"/>
                    </w:rPr>
                  </w:pPr>
                  <w:r>
                    <w:rPr>
                      <w:rFonts w:hint="eastAsia" w:ascii="Times New Roman" w:hAnsi="Times New Roman" w:cs="Times New Roman"/>
                      <w:kern w:val="0"/>
                      <w:sz w:val="21"/>
                      <w:szCs w:val="21"/>
                    </w:rPr>
                    <w:t>农作地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24" w:type="dxa"/>
                  <w:gridSpan w:val="2"/>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区域湿度条件</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中等湿度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2" w:type="dxa"/>
                  <w:vMerge w:val="restart"/>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是否考虑地下</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考虑地形</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2" w:type="dxa"/>
                  <w:vMerge w:val="continue"/>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地形数据分辨率</w:t>
                  </w:r>
                  <w:r>
                    <w:rPr>
                      <w:rFonts w:ascii="Times New Roman" w:hAnsi="Times New Roman" w:eastAsia="Calibri Light" w:cs="Times New Roman"/>
                      <w:kern w:val="0"/>
                      <w:sz w:val="21"/>
                      <w:szCs w:val="21"/>
                    </w:rPr>
                    <w:t>/m</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eastAsia="Calibri Light" w:cs="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2" w:type="dxa"/>
                  <w:vMerge w:val="restart"/>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是否考虑岸线熏烟</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考虑岸线熏烟</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2" w:type="dxa"/>
                  <w:vMerge w:val="continue"/>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岸线距离</w:t>
                  </w:r>
                  <w:r>
                    <w:rPr>
                      <w:rFonts w:ascii="Times New Roman" w:hAnsi="Times New Roman" w:eastAsia="Calibri Light" w:cs="Times New Roman"/>
                      <w:kern w:val="0"/>
                      <w:sz w:val="21"/>
                      <w:szCs w:val="21"/>
                    </w:rPr>
                    <w:t>/km</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eastAsia="Calibri Light" w:cs="Times New Roman"/>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62" w:type="dxa"/>
                  <w:vMerge w:val="continue"/>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cs="Times New Roman"/>
                      <w:kern w:val="0"/>
                      <w:sz w:val="21"/>
                      <w:szCs w:val="21"/>
                    </w:rPr>
                    <w:t>岸线方向</w:t>
                  </w:r>
                  <w:r>
                    <w:rPr>
                      <w:rFonts w:ascii="Times New Roman" w:hAnsi="Times New Roman" w:eastAsia="Calibri Light" w:cs="Times New Roman"/>
                      <w:kern w:val="0"/>
                      <w:sz w:val="21"/>
                      <w:szCs w:val="21"/>
                    </w:rPr>
                    <w:t>/°</w:t>
                  </w:r>
                </w:p>
              </w:tc>
              <w:tc>
                <w:tcPr>
                  <w:tcW w:w="2862" w:type="dxa"/>
                  <w:tcBorders>
                    <w:tl2br w:val="nil"/>
                    <w:tr2bl w:val="nil"/>
                  </w:tcBorders>
                  <w:vAlign w:val="center"/>
                </w:tcPr>
                <w:p>
                  <w:pPr>
                    <w:widowControl/>
                    <w:adjustRightInd w:val="0"/>
                    <w:snapToGrid w:val="0"/>
                    <w:spacing w:line="280" w:lineRule="exact"/>
                    <w:jc w:val="center"/>
                    <w:rPr>
                      <w:rFonts w:ascii="Times New Roman" w:hAnsi="Times New Roman" w:eastAsia="Calibri Light" w:cs="Times New Roman"/>
                      <w:kern w:val="0"/>
                      <w:sz w:val="21"/>
                      <w:szCs w:val="21"/>
                    </w:rPr>
                  </w:pPr>
                  <w:r>
                    <w:rPr>
                      <w:rFonts w:ascii="Times New Roman" w:hAnsi="Times New Roman" w:eastAsia="Calibri Light" w:cs="Times New Roman"/>
                      <w:kern w:val="0"/>
                      <w:sz w:val="21"/>
                      <w:szCs w:val="21"/>
                    </w:rPr>
                    <w:t>/</w:t>
                  </w:r>
                </w:p>
              </w:tc>
            </w:tr>
          </w:tbl>
          <w:p>
            <w:pPr>
              <w:adjustRightInd w:val="0"/>
              <w:snapToGrid w:val="0"/>
              <w:spacing w:before="190" w:beforeLines="50"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采用</w:t>
            </w:r>
            <w:r>
              <w:rPr>
                <w:rFonts w:hint="eastAsia" w:ascii="Times New Roman" w:hAnsi="Times New Roman" w:cs="Times New Roman"/>
                <w:kern w:val="0"/>
                <w:sz w:val="24"/>
                <w:szCs w:val="24"/>
              </w:rPr>
              <w:t>《环境影响评价技术导则 大气环境》（HJ/2.2-2018）中推荐的估算模型 AERSCREEN预测</w:t>
            </w:r>
            <w:r>
              <w:rPr>
                <w:rFonts w:hint="eastAsia" w:ascii="Times New Roman" w:hAnsi="Times New Roman" w:cs="Times New Roman"/>
                <w:sz w:val="24"/>
                <w:szCs w:val="24"/>
              </w:rPr>
              <w:t>点源大气污染物最大落地浓度及占标率，估算结果见表34。</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34</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点源大气污染物最大落地浓度及占标率估算结果一览表</w:t>
            </w:r>
          </w:p>
          <w:tbl>
            <w:tblPr>
              <w:tblStyle w:val="28"/>
              <w:tblW w:w="87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633"/>
              <w:gridCol w:w="1200"/>
              <w:gridCol w:w="1640"/>
              <w:gridCol w:w="1190"/>
              <w:gridCol w:w="1070"/>
              <w:gridCol w:w="11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类型</w:t>
                  </w:r>
                </w:p>
              </w:tc>
              <w:tc>
                <w:tcPr>
                  <w:tcW w:w="1633" w:type="dxa"/>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排放源</w:t>
                  </w:r>
                </w:p>
              </w:tc>
              <w:tc>
                <w:tcPr>
                  <w:tcW w:w="1200" w:type="dxa"/>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污染因子</w:t>
                  </w:r>
                </w:p>
              </w:tc>
              <w:tc>
                <w:tcPr>
                  <w:tcW w:w="1640"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最大落地浓度</w:t>
                  </w:r>
                </w:p>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c>
                <w:tcPr>
                  <w:tcW w:w="1190"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评价标准</w:t>
                  </w:r>
                </w:p>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c>
                <w:tcPr>
                  <w:tcW w:w="1070"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占标率</w:t>
                  </w:r>
                </w:p>
                <w:p>
                  <w:pPr>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w:t>
                  </w:r>
                </w:p>
              </w:tc>
              <w:tc>
                <w:tcPr>
                  <w:tcW w:w="1166"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最大落地位置（m）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6"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点源</w:t>
                  </w:r>
                </w:p>
              </w:tc>
              <w:tc>
                <w:tcPr>
                  <w:tcW w:w="1633" w:type="dxa"/>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切割、焊接、打磨工序</w:t>
                  </w:r>
                </w:p>
              </w:tc>
              <w:tc>
                <w:tcPr>
                  <w:tcW w:w="1200" w:type="dxa"/>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颗粒物</w:t>
                  </w:r>
                </w:p>
              </w:tc>
              <w:tc>
                <w:tcPr>
                  <w:tcW w:w="1640" w:type="dxa"/>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kern w:val="0"/>
                      <w:sz w:val="21"/>
                      <w:szCs w:val="21"/>
                    </w:rPr>
                    <w:t>0.0007598</w:t>
                  </w:r>
                </w:p>
              </w:tc>
              <w:tc>
                <w:tcPr>
                  <w:tcW w:w="1190" w:type="dxa"/>
                  <w:tcBorders>
                    <w:tl2br w:val="nil"/>
                    <w:tr2bl w:val="nil"/>
                  </w:tcBorders>
                  <w:vAlign w:val="center"/>
                </w:tcPr>
                <w:p>
                  <w:pPr>
                    <w:widowControl/>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0.45</w:t>
                  </w:r>
                </w:p>
              </w:tc>
              <w:tc>
                <w:tcPr>
                  <w:tcW w:w="1070"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0.1688</w:t>
                  </w:r>
                </w:p>
              </w:tc>
              <w:tc>
                <w:tcPr>
                  <w:tcW w:w="1166"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93</w:t>
                  </w:r>
                </w:p>
              </w:tc>
            </w:tr>
          </w:tbl>
          <w:p>
            <w:pPr>
              <w:widowControl/>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由表34可知，</w:t>
            </w:r>
            <w:r>
              <w:rPr>
                <w:rFonts w:ascii="Times New Roman" w:hAnsi="Times New Roman" w:cs="Times New Roman"/>
                <w:sz w:val="24"/>
                <w:szCs w:val="24"/>
              </w:rPr>
              <w:t>项目污染源最大地面浓度占标率为</w:t>
            </w:r>
            <w:r>
              <w:rPr>
                <w:rFonts w:hint="eastAsia" w:ascii="Times New Roman" w:hAnsi="Times New Roman" w:cs="Times New Roman"/>
                <w:sz w:val="24"/>
                <w:szCs w:val="24"/>
              </w:rPr>
              <w:t xml:space="preserve">0.17 </w:t>
            </w:r>
            <w:r>
              <w:rPr>
                <w:rFonts w:ascii="Times New Roman" w:hAnsi="Times New Roman" w:cs="Times New Roman"/>
                <w:sz w:val="24"/>
                <w:szCs w:val="24"/>
              </w:rPr>
              <w:t>%，根据《环境影响评价技术导则——大气环境》（HJ2.2-2018），项目评价</w:t>
            </w:r>
            <w:r>
              <w:rPr>
                <w:rFonts w:hint="eastAsia" w:ascii="Times New Roman" w:hAnsi="Times New Roman" w:cs="Times New Roman"/>
                <w:sz w:val="24"/>
                <w:szCs w:val="24"/>
              </w:rPr>
              <w:t>工作分级见表35，判定</w:t>
            </w:r>
            <w:r>
              <w:rPr>
                <w:rFonts w:ascii="Times New Roman" w:hAnsi="Times New Roman" w:cs="Times New Roman"/>
                <w:sz w:val="24"/>
                <w:szCs w:val="24"/>
              </w:rPr>
              <w:t>为</w:t>
            </w:r>
            <w:r>
              <w:rPr>
                <w:rFonts w:hint="eastAsia" w:ascii="Times New Roman" w:hAnsi="Times New Roman" w:cs="Times New Roman"/>
                <w:sz w:val="24"/>
                <w:szCs w:val="24"/>
              </w:rPr>
              <w:t>三</w:t>
            </w:r>
            <w:r>
              <w:rPr>
                <w:rFonts w:ascii="Times New Roman" w:hAnsi="Times New Roman" w:cs="Times New Roman"/>
                <w:sz w:val="24"/>
                <w:szCs w:val="24"/>
              </w:rPr>
              <w:t>级，</w:t>
            </w:r>
            <w:r>
              <w:rPr>
                <w:rFonts w:hint="eastAsia" w:ascii="Times New Roman" w:hAnsi="Times New Roman" w:cs="Times New Roman"/>
                <w:sz w:val="24"/>
                <w:szCs w:val="24"/>
              </w:rPr>
              <w:t>可不进行进一步预测。</w:t>
            </w:r>
          </w:p>
          <w:p>
            <w:pPr>
              <w:pStyle w:val="10"/>
              <w:adjustRightInd w:val="0"/>
              <w:snapToGrid w:val="0"/>
              <w:spacing w:before="114" w:beforeLines="30" w:after="114" w:afterLines="30"/>
              <w:jc w:val="center"/>
              <w:rPr>
                <w:rFonts w:ascii="Times New Roman" w:hAnsi="Times New Roman" w:eastAsia="宋体"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35</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大气</w:t>
            </w:r>
            <w:r>
              <w:rPr>
                <w:rFonts w:hint="eastAsia" w:ascii="Times New Roman" w:hAnsi="Times New Roman" w:eastAsia="宋体" w:cs="Times New Roman"/>
                <w:b/>
                <w:bCs/>
                <w:sz w:val="22"/>
                <w:szCs w:val="22"/>
              </w:rPr>
              <w:t>评价工作等级判别表</w:t>
            </w:r>
          </w:p>
          <w:tbl>
            <w:tblPr>
              <w:tblStyle w:val="28"/>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818"/>
              <w:gridCol w:w="497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3818" w:type="dxa"/>
                  <w:tcBorders>
                    <w:tl2br w:val="nil"/>
                    <w:tr2bl w:val="nil"/>
                  </w:tcBorders>
                </w:tcPr>
                <w:p>
                  <w:pPr>
                    <w:pStyle w:val="98"/>
                    <w:kinsoku w:val="0"/>
                    <w:overflowPunct w:val="0"/>
                    <w:spacing w:line="288" w:lineRule="auto"/>
                    <w:ind w:left="101"/>
                    <w:jc w:val="center"/>
                    <w:rPr>
                      <w:rFonts w:ascii="Times New Roman" w:hAnsi="Times New Roman" w:cs="Times New Roman"/>
                      <w:sz w:val="21"/>
                      <w:szCs w:val="21"/>
                    </w:rPr>
                  </w:pPr>
                  <w:r>
                    <w:rPr>
                      <w:rFonts w:ascii="Times New Roman" w:hAnsi="Times New Roman" w:cs="Times New Roman"/>
                      <w:b/>
                      <w:bCs/>
                      <w:sz w:val="21"/>
                      <w:szCs w:val="21"/>
                    </w:rPr>
                    <w:t>评价工作等级</w:t>
                  </w:r>
                </w:p>
              </w:tc>
              <w:tc>
                <w:tcPr>
                  <w:tcW w:w="4974" w:type="dxa"/>
                  <w:tcBorders>
                    <w:tl2br w:val="nil"/>
                    <w:tr2bl w:val="nil"/>
                  </w:tcBorders>
                </w:tcPr>
                <w:p>
                  <w:pPr>
                    <w:pStyle w:val="98"/>
                    <w:kinsoku w:val="0"/>
                    <w:overflowPunct w:val="0"/>
                    <w:spacing w:line="288" w:lineRule="auto"/>
                    <w:ind w:left="1591"/>
                    <w:rPr>
                      <w:rFonts w:ascii="Times New Roman" w:hAnsi="Times New Roman" w:cs="Times New Roman"/>
                      <w:sz w:val="21"/>
                      <w:szCs w:val="21"/>
                    </w:rPr>
                  </w:pPr>
                  <w:r>
                    <w:rPr>
                      <w:rFonts w:ascii="Times New Roman" w:hAnsi="Times New Roman" w:cs="Times New Roman"/>
                      <w:b/>
                      <w:bCs/>
                      <w:sz w:val="21"/>
                      <w:szCs w:val="21"/>
                    </w:rPr>
                    <w:t>评价工作分级依据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3818" w:type="dxa"/>
                  <w:tcBorders>
                    <w:tl2br w:val="nil"/>
                    <w:tr2bl w:val="nil"/>
                  </w:tcBorders>
                </w:tcPr>
                <w:p>
                  <w:pPr>
                    <w:pStyle w:val="98"/>
                    <w:kinsoku w:val="0"/>
                    <w:overflowPunct w:val="0"/>
                    <w:spacing w:line="288" w:lineRule="auto"/>
                    <w:ind w:left="96"/>
                    <w:jc w:val="center"/>
                    <w:rPr>
                      <w:rFonts w:ascii="Times New Roman" w:hAnsi="Times New Roman" w:cs="Times New Roman"/>
                      <w:sz w:val="21"/>
                      <w:szCs w:val="21"/>
                    </w:rPr>
                  </w:pPr>
                  <w:r>
                    <w:rPr>
                      <w:rFonts w:ascii="Times New Roman" w:hAnsi="Times New Roman" w:cs="Times New Roman"/>
                      <w:sz w:val="21"/>
                      <w:szCs w:val="21"/>
                    </w:rPr>
                    <w:t>一级</w:t>
                  </w:r>
                </w:p>
              </w:tc>
              <w:tc>
                <w:tcPr>
                  <w:tcW w:w="4974" w:type="dxa"/>
                  <w:tcBorders>
                    <w:tl2br w:val="nil"/>
                    <w:tr2bl w:val="nil"/>
                  </w:tcBorders>
                </w:tcPr>
                <w:p>
                  <w:pPr>
                    <w:pStyle w:val="98"/>
                    <w:kinsoku w:val="0"/>
                    <w:overflowPunct w:val="0"/>
                    <w:spacing w:line="288" w:lineRule="auto"/>
                    <w:ind w:left="1898"/>
                    <w:rPr>
                      <w:rFonts w:ascii="Times New Roman" w:hAnsi="Times New Roman" w:cs="Times New Roman"/>
                      <w:sz w:val="21"/>
                      <w:szCs w:val="21"/>
                    </w:rPr>
                  </w:pPr>
                  <w:r>
                    <w:rPr>
                      <w:rFonts w:ascii="Times New Roman" w:hAnsi="Times New Roman" w:cs="Times New Roman"/>
                      <w:sz w:val="21"/>
                      <w:szCs w:val="21"/>
                    </w:rPr>
                    <w:t>Pmax≥10%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3818" w:type="dxa"/>
                  <w:tcBorders>
                    <w:tl2br w:val="nil"/>
                    <w:tr2bl w:val="nil"/>
                  </w:tcBorders>
                </w:tcPr>
                <w:p>
                  <w:pPr>
                    <w:pStyle w:val="98"/>
                    <w:kinsoku w:val="0"/>
                    <w:overflowPunct w:val="0"/>
                    <w:spacing w:line="288" w:lineRule="auto"/>
                    <w:ind w:left="96"/>
                    <w:jc w:val="center"/>
                    <w:rPr>
                      <w:rFonts w:ascii="Times New Roman" w:hAnsi="Times New Roman" w:cs="Times New Roman"/>
                      <w:sz w:val="21"/>
                      <w:szCs w:val="21"/>
                    </w:rPr>
                  </w:pPr>
                  <w:r>
                    <w:rPr>
                      <w:rFonts w:ascii="Times New Roman" w:hAnsi="Times New Roman" w:cs="Times New Roman"/>
                      <w:sz w:val="21"/>
                      <w:szCs w:val="21"/>
                    </w:rPr>
                    <w:t>二级</w:t>
                  </w:r>
                </w:p>
              </w:tc>
              <w:tc>
                <w:tcPr>
                  <w:tcW w:w="4974" w:type="dxa"/>
                  <w:tcBorders>
                    <w:tl2br w:val="nil"/>
                    <w:tr2bl w:val="nil"/>
                  </w:tcBorders>
                </w:tcPr>
                <w:p>
                  <w:pPr>
                    <w:pStyle w:val="98"/>
                    <w:kinsoku w:val="0"/>
                    <w:overflowPunct w:val="0"/>
                    <w:spacing w:line="288" w:lineRule="auto"/>
                    <w:ind w:left="1651"/>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Times New Roman"/>
                      <w:b/>
                      <w:bCs/>
                      <w:sz w:val="21"/>
                      <w:szCs w:val="21"/>
                      <w:u w:val="single"/>
                    </w:rPr>
                    <w:t>≤</w:t>
                  </w:r>
                  <w:r>
                    <w:rPr>
                      <w:rFonts w:ascii="Times New Roman" w:hAnsi="Times New Roman" w:cs="Times New Roman"/>
                      <w:sz w:val="21"/>
                      <w:szCs w:val="21"/>
                    </w:rPr>
                    <w:t>Pmax＜10%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3818" w:type="dxa"/>
                  <w:tcBorders>
                    <w:tl2br w:val="nil"/>
                    <w:tr2bl w:val="nil"/>
                  </w:tcBorders>
                </w:tcPr>
                <w:p>
                  <w:pPr>
                    <w:pStyle w:val="98"/>
                    <w:kinsoku w:val="0"/>
                    <w:overflowPunct w:val="0"/>
                    <w:spacing w:line="288" w:lineRule="auto"/>
                    <w:ind w:left="96"/>
                    <w:jc w:val="center"/>
                    <w:rPr>
                      <w:rFonts w:ascii="Times New Roman" w:hAnsi="Times New Roman" w:cs="Times New Roman"/>
                      <w:sz w:val="21"/>
                      <w:szCs w:val="21"/>
                    </w:rPr>
                  </w:pPr>
                  <w:r>
                    <w:rPr>
                      <w:rFonts w:ascii="Times New Roman" w:hAnsi="Times New Roman" w:cs="Times New Roman"/>
                      <w:sz w:val="21"/>
                      <w:szCs w:val="21"/>
                    </w:rPr>
                    <w:t>三级</w:t>
                  </w:r>
                </w:p>
              </w:tc>
              <w:tc>
                <w:tcPr>
                  <w:tcW w:w="4974" w:type="dxa"/>
                  <w:tcBorders>
                    <w:tl2br w:val="nil"/>
                    <w:tr2bl w:val="nil"/>
                  </w:tcBorders>
                </w:tcPr>
                <w:p>
                  <w:pPr>
                    <w:pStyle w:val="98"/>
                    <w:kinsoku w:val="0"/>
                    <w:overflowPunct w:val="0"/>
                    <w:spacing w:line="288" w:lineRule="auto"/>
                    <w:jc w:val="center"/>
                    <w:rPr>
                      <w:rFonts w:ascii="Times New Roman" w:hAnsi="Times New Roman" w:cs="Times New Roman"/>
                      <w:sz w:val="21"/>
                      <w:szCs w:val="21"/>
                    </w:rPr>
                  </w:pPr>
                  <w:r>
                    <w:rPr>
                      <w:rFonts w:ascii="Times New Roman" w:hAnsi="Times New Roman" w:cs="Times New Roman"/>
                      <w:sz w:val="21"/>
                      <w:szCs w:val="21"/>
                    </w:rPr>
                    <w:t>Pmax＜1%</w:t>
                  </w:r>
                </w:p>
              </w:tc>
            </w:tr>
          </w:tbl>
          <w:p>
            <w:pPr>
              <w:widowControl/>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（5）项目厂界浓度预测</w:t>
            </w:r>
          </w:p>
          <w:p>
            <w:pPr>
              <w:widowControl/>
              <w:adjustRightInd w:val="0"/>
              <w:snapToGrid w:val="0"/>
              <w:spacing w:line="480" w:lineRule="exact"/>
              <w:ind w:firstLine="480" w:firstLineChars="200"/>
              <w:rPr>
                <w:rFonts w:ascii="Times New Roman" w:hAnsi="Times New Roman" w:cs="Times New Roman"/>
                <w:kern w:val="0"/>
                <w:sz w:val="24"/>
                <w:szCs w:val="24"/>
              </w:rPr>
            </w:pPr>
            <w:r>
              <w:rPr>
                <w:rFonts w:hint="eastAsia" w:ascii="Times New Roman" w:hAnsi="Times New Roman" w:cs="Times New Roman"/>
                <w:sz w:val="24"/>
                <w:szCs w:val="24"/>
              </w:rPr>
              <w:t>车间面源预测结果见表36</w:t>
            </w:r>
          </w:p>
          <w:p>
            <w:pPr>
              <w:pStyle w:val="10"/>
              <w:spacing w:before="114" w:beforeLines="30" w:after="114" w:afterLines="30"/>
              <w:jc w:val="center"/>
              <w:rPr>
                <w:rFonts w:ascii="Times New Roman" w:hAnsi="Times New Roman" w:eastAsia="宋体"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36</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hint="eastAsia" w:ascii="Times New Roman" w:hAnsi="Times New Roman" w:eastAsia="宋体" w:cs="Times New Roman"/>
                <w:b/>
                <w:bCs/>
                <w:sz w:val="22"/>
                <w:szCs w:val="22"/>
              </w:rPr>
              <w:t>车间面源</w:t>
            </w:r>
            <w:r>
              <w:rPr>
                <w:rFonts w:hint="eastAsia" w:ascii="Times New Roman" w:hAnsi="Times New Roman" w:cs="Times New Roman"/>
                <w:b/>
                <w:bCs/>
                <w:sz w:val="22"/>
                <w:szCs w:val="22"/>
              </w:rPr>
              <w:t>预测结果</w:t>
            </w:r>
            <w:r>
              <w:rPr>
                <w:rFonts w:hint="eastAsia" w:ascii="Times New Roman" w:hAnsi="Times New Roman" w:eastAsia="宋体" w:cs="Times New Roman"/>
                <w:b/>
                <w:bCs/>
                <w:sz w:val="22"/>
                <w:szCs w:val="22"/>
              </w:rPr>
              <w:t>一览表</w:t>
            </w:r>
          </w:p>
          <w:tbl>
            <w:tblPr>
              <w:tblStyle w:val="28"/>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83"/>
              <w:gridCol w:w="3025"/>
              <w:gridCol w:w="30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vMerge w:val="restart"/>
                  <w:tcBorders>
                    <w:tl2br w:val="nil"/>
                    <w:tr2bl w:val="nil"/>
                  </w:tcBorders>
                  <w:shd w:val="clear" w:color="auto" w:fill="auto"/>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下风向距离（m）</w:t>
                  </w:r>
                </w:p>
              </w:tc>
              <w:tc>
                <w:tcPr>
                  <w:tcW w:w="3552" w:type="pct"/>
                  <w:gridSpan w:val="2"/>
                  <w:tcBorders>
                    <w:tl2br w:val="nil"/>
                    <w:tr2bl w:val="nil"/>
                  </w:tcBorders>
                  <w:shd w:val="clear" w:color="auto" w:fill="auto"/>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颗粒物（生产车间）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vMerge w:val="continue"/>
                  <w:tcBorders>
                    <w:tl2br w:val="nil"/>
                    <w:tr2bl w:val="nil"/>
                  </w:tcBorders>
                  <w:shd w:val="clear" w:color="auto" w:fill="auto"/>
                  <w:vAlign w:val="center"/>
                </w:tcPr>
                <w:p>
                  <w:pPr>
                    <w:spacing w:line="288" w:lineRule="auto"/>
                    <w:jc w:val="center"/>
                    <w:rPr>
                      <w:rFonts w:ascii="Times New Roman" w:hAnsi="Times New Roman" w:cs="Times New Roman"/>
                      <w:b/>
                      <w:bCs/>
                      <w:sz w:val="21"/>
                      <w:szCs w:val="21"/>
                    </w:rPr>
                  </w:pPr>
                </w:p>
              </w:tc>
              <w:tc>
                <w:tcPr>
                  <w:tcW w:w="1763" w:type="pct"/>
                  <w:tcBorders>
                    <w:tl2br w:val="nil"/>
                    <w:tr2bl w:val="nil"/>
                  </w:tcBorders>
                  <w:shd w:val="clear" w:color="auto" w:fill="auto"/>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预测质量浓度（mg/m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c>
                <w:tcPr>
                  <w:tcW w:w="1789" w:type="pct"/>
                  <w:tcBorders>
                    <w:tl2br w:val="nil"/>
                    <w:tr2bl w:val="nil"/>
                  </w:tcBorders>
                  <w:shd w:val="clear" w:color="auto" w:fill="auto"/>
                  <w:vAlign w:val="center"/>
                </w:tcPr>
                <w:p>
                  <w:pPr>
                    <w:spacing w:line="288" w:lineRule="auto"/>
                    <w:jc w:val="center"/>
                    <w:rPr>
                      <w:rFonts w:ascii="Times New Roman" w:hAnsi="Times New Roman" w:cs="Times New Roman"/>
                      <w:b/>
                      <w:bCs/>
                      <w:sz w:val="21"/>
                      <w:szCs w:val="21"/>
                    </w:rPr>
                  </w:pPr>
                  <w:r>
                    <w:rPr>
                      <w:rFonts w:ascii="Times New Roman" w:hAnsi="Times New Roman" w:cs="Times New Roman"/>
                      <w:b/>
                      <w:bCs/>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sz w:val="21"/>
                      <w:szCs w:val="21"/>
                    </w:rPr>
                  </w:pPr>
                  <w:r>
                    <w:rPr>
                      <w:rFonts w:ascii="Times New Roman" w:hAnsi="Times New Roman" w:cs="Times New Roman"/>
                      <w:kern w:val="0"/>
                      <w:sz w:val="21"/>
                      <w:szCs w:val="21"/>
                      <w:lang w:bidi="ar"/>
                    </w:rPr>
                    <w:t>1</w:t>
                  </w:r>
                </w:p>
              </w:tc>
              <w:tc>
                <w:tcPr>
                  <w:tcW w:w="1763"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0.0044118</w:t>
                  </w:r>
                </w:p>
              </w:tc>
              <w:tc>
                <w:tcPr>
                  <w:tcW w:w="3070" w:type="dxa"/>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0.4902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sz w:val="21"/>
                      <w:szCs w:val="21"/>
                    </w:rPr>
                  </w:pPr>
                  <w:r>
                    <w:rPr>
                      <w:rFonts w:ascii="Times New Roman" w:hAnsi="Times New Roman" w:cs="Times New Roman"/>
                      <w:kern w:val="0"/>
                      <w:sz w:val="21"/>
                      <w:szCs w:val="21"/>
                      <w:lang w:bidi="ar"/>
                    </w:rPr>
                    <w:t>25</w:t>
                  </w:r>
                </w:p>
              </w:tc>
              <w:tc>
                <w:tcPr>
                  <w:tcW w:w="1763"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0.0069426</w:t>
                  </w:r>
                </w:p>
              </w:tc>
              <w:tc>
                <w:tcPr>
                  <w:tcW w:w="3070" w:type="dxa"/>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0.7714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sz w:val="21"/>
                      <w:szCs w:val="21"/>
                    </w:rPr>
                  </w:pPr>
                  <w:r>
                    <w:rPr>
                      <w:rFonts w:ascii="Times New Roman" w:hAnsi="Times New Roman" w:cs="Times New Roman"/>
                      <w:kern w:val="0"/>
                      <w:sz w:val="21"/>
                      <w:szCs w:val="21"/>
                      <w:lang w:bidi="ar"/>
                    </w:rPr>
                    <w:t>50</w:t>
                  </w:r>
                </w:p>
              </w:tc>
              <w:tc>
                <w:tcPr>
                  <w:tcW w:w="1763"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0.0076302</w:t>
                  </w:r>
                </w:p>
              </w:tc>
              <w:tc>
                <w:tcPr>
                  <w:tcW w:w="3070" w:type="dxa"/>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0.8478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sz w:val="21"/>
                      <w:szCs w:val="21"/>
                    </w:rPr>
                  </w:pPr>
                  <w:r>
                    <w:rPr>
                      <w:rFonts w:ascii="Times New Roman" w:hAnsi="Times New Roman" w:cs="Times New Roman"/>
                      <w:kern w:val="0"/>
                      <w:sz w:val="21"/>
                      <w:szCs w:val="21"/>
                      <w:lang w:bidi="ar"/>
                    </w:rPr>
                    <w:t>52</w:t>
                  </w:r>
                </w:p>
              </w:tc>
              <w:tc>
                <w:tcPr>
                  <w:tcW w:w="1763"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0.0076374</w:t>
                  </w:r>
                </w:p>
              </w:tc>
              <w:tc>
                <w:tcPr>
                  <w:tcW w:w="3070" w:type="dxa"/>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0.8486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sz w:val="21"/>
                      <w:szCs w:val="21"/>
                    </w:rPr>
                  </w:pPr>
                  <w:r>
                    <w:rPr>
                      <w:rFonts w:ascii="Times New Roman" w:hAnsi="Times New Roman" w:cs="Times New Roman"/>
                      <w:kern w:val="0"/>
                      <w:sz w:val="21"/>
                      <w:szCs w:val="21"/>
                      <w:lang w:bidi="ar"/>
                    </w:rPr>
                    <w:t>100</w:t>
                  </w:r>
                </w:p>
              </w:tc>
              <w:tc>
                <w:tcPr>
                  <w:tcW w:w="1763"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0.0058779</w:t>
                  </w:r>
                </w:p>
              </w:tc>
              <w:tc>
                <w:tcPr>
                  <w:tcW w:w="3070" w:type="dxa"/>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0.6531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sz w:val="21"/>
                      <w:szCs w:val="21"/>
                    </w:rPr>
                  </w:pPr>
                  <w:r>
                    <w:rPr>
                      <w:rFonts w:ascii="Times New Roman" w:hAnsi="Times New Roman" w:cs="Times New Roman"/>
                      <w:kern w:val="0"/>
                      <w:sz w:val="21"/>
                      <w:szCs w:val="21"/>
                      <w:lang w:bidi="ar"/>
                    </w:rPr>
                    <w:t>200</w:t>
                  </w:r>
                </w:p>
              </w:tc>
              <w:tc>
                <w:tcPr>
                  <w:tcW w:w="1763"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0.0035424</w:t>
                  </w:r>
                </w:p>
              </w:tc>
              <w:tc>
                <w:tcPr>
                  <w:tcW w:w="3070" w:type="dxa"/>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0.3936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sz w:val="21"/>
                      <w:szCs w:val="21"/>
                    </w:rPr>
                  </w:pPr>
                  <w:r>
                    <w:rPr>
                      <w:rFonts w:ascii="Times New Roman" w:hAnsi="Times New Roman" w:cs="Times New Roman"/>
                      <w:kern w:val="0"/>
                      <w:sz w:val="21"/>
                      <w:szCs w:val="21"/>
                      <w:lang w:bidi="ar"/>
                    </w:rPr>
                    <w:t>300</w:t>
                  </w:r>
                </w:p>
              </w:tc>
              <w:tc>
                <w:tcPr>
                  <w:tcW w:w="1763"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0.0026505</w:t>
                  </w:r>
                </w:p>
              </w:tc>
              <w:tc>
                <w:tcPr>
                  <w:tcW w:w="3070" w:type="dxa"/>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0.2945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sz w:val="21"/>
                      <w:szCs w:val="21"/>
                    </w:rPr>
                  </w:pPr>
                  <w:r>
                    <w:rPr>
                      <w:rFonts w:ascii="Times New Roman" w:hAnsi="Times New Roman" w:cs="Times New Roman"/>
                      <w:kern w:val="0"/>
                      <w:sz w:val="21"/>
                      <w:szCs w:val="21"/>
                      <w:lang w:bidi="ar"/>
                    </w:rPr>
                    <w:t>400</w:t>
                  </w:r>
                </w:p>
              </w:tc>
              <w:tc>
                <w:tcPr>
                  <w:tcW w:w="1763"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0.0022653</w:t>
                  </w:r>
                </w:p>
              </w:tc>
              <w:tc>
                <w:tcPr>
                  <w:tcW w:w="3070" w:type="dxa"/>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0.2517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sz w:val="21"/>
                      <w:szCs w:val="21"/>
                    </w:rPr>
                  </w:pPr>
                  <w:r>
                    <w:rPr>
                      <w:rFonts w:ascii="Times New Roman" w:hAnsi="Times New Roman" w:cs="Times New Roman"/>
                      <w:kern w:val="0"/>
                      <w:sz w:val="21"/>
                      <w:szCs w:val="21"/>
                      <w:lang w:bidi="ar"/>
                    </w:rPr>
                    <w:t>500</w:t>
                  </w:r>
                </w:p>
              </w:tc>
              <w:tc>
                <w:tcPr>
                  <w:tcW w:w="1763"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0.0020754</w:t>
                  </w:r>
                </w:p>
              </w:tc>
              <w:tc>
                <w:tcPr>
                  <w:tcW w:w="3070" w:type="dxa"/>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0.2306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447"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sz w:val="21"/>
                      <w:szCs w:val="21"/>
                    </w:rPr>
                  </w:pPr>
                  <w:r>
                    <w:rPr>
                      <w:rFonts w:ascii="Times New Roman" w:hAnsi="Times New Roman" w:cs="Times New Roman"/>
                      <w:kern w:val="0"/>
                      <w:sz w:val="21"/>
                      <w:szCs w:val="21"/>
                      <w:lang w:bidi="ar"/>
                    </w:rPr>
                    <w:t>600</w:t>
                  </w:r>
                </w:p>
              </w:tc>
              <w:tc>
                <w:tcPr>
                  <w:tcW w:w="1763" w:type="pct"/>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0.0019287</w:t>
                  </w:r>
                </w:p>
              </w:tc>
              <w:tc>
                <w:tcPr>
                  <w:tcW w:w="3070" w:type="dxa"/>
                  <w:tcBorders>
                    <w:tl2br w:val="nil"/>
                    <w:tr2bl w:val="nil"/>
                  </w:tcBorders>
                  <w:shd w:val="clear" w:color="auto" w:fill="auto"/>
                  <w:vAlign w:val="center"/>
                </w:tcPr>
                <w:p>
                  <w:pPr>
                    <w:widowControl/>
                    <w:spacing w:line="288" w:lineRule="auto"/>
                    <w:jc w:val="center"/>
                    <w:textAlignment w:val="center"/>
                    <w:rPr>
                      <w:rFonts w:ascii="Times New Roman" w:hAnsi="Times New Roman" w:cs="Times New Roman"/>
                      <w:kern w:val="0"/>
                      <w:sz w:val="21"/>
                      <w:szCs w:val="21"/>
                      <w:lang w:bidi="ar"/>
                    </w:rPr>
                  </w:pPr>
                  <w:r>
                    <w:rPr>
                      <w:rFonts w:hint="eastAsia" w:ascii="Times New Roman" w:hAnsi="Times New Roman" w:cs="Times New Roman"/>
                      <w:kern w:val="0"/>
                      <w:sz w:val="21"/>
                      <w:szCs w:val="21"/>
                      <w:lang w:bidi="ar"/>
                    </w:rPr>
                    <w:t>0.2143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7" w:type="pct"/>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下风向最大质量浓度（mg/m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3552" w:type="pct"/>
                  <w:gridSpan w:val="2"/>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0.00</w:t>
                  </w:r>
                  <w:r>
                    <w:rPr>
                      <w:rFonts w:hint="eastAsia" w:ascii="Times New Roman" w:hAnsi="Times New Roman" w:cs="Times New Roman"/>
                      <w:sz w:val="21"/>
                      <w:szCs w:val="21"/>
                    </w:rPr>
                    <w:t>76374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7" w:type="pct"/>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D</w:t>
                  </w:r>
                  <w:r>
                    <w:rPr>
                      <w:rFonts w:ascii="Times New Roman" w:hAnsi="Times New Roman" w:cs="Times New Roman"/>
                      <w:sz w:val="21"/>
                      <w:szCs w:val="21"/>
                      <w:vertAlign w:val="subscript"/>
                    </w:rPr>
                    <w:t>10%</w:t>
                  </w:r>
                  <w:r>
                    <w:rPr>
                      <w:rFonts w:ascii="Times New Roman" w:hAnsi="Times New Roman" w:cs="Times New Roman"/>
                      <w:sz w:val="21"/>
                      <w:szCs w:val="21"/>
                    </w:rPr>
                    <w:t>最远距离（m）</w:t>
                  </w:r>
                </w:p>
              </w:tc>
              <w:tc>
                <w:tcPr>
                  <w:tcW w:w="3552" w:type="pct"/>
                  <w:gridSpan w:val="2"/>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47" w:type="pct"/>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占标率（%）</w:t>
                  </w:r>
                </w:p>
              </w:tc>
              <w:tc>
                <w:tcPr>
                  <w:tcW w:w="3552" w:type="pct"/>
                  <w:gridSpan w:val="2"/>
                  <w:tcBorders>
                    <w:tl2br w:val="nil"/>
                    <w:tr2bl w:val="nil"/>
                  </w:tcBorders>
                  <w:shd w:val="clear" w:color="auto" w:fill="auto"/>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0.</w:t>
                  </w:r>
                  <w:r>
                    <w:rPr>
                      <w:rFonts w:hint="eastAsia" w:ascii="Times New Roman" w:hAnsi="Times New Roman" w:cs="Times New Roman"/>
                      <w:sz w:val="21"/>
                      <w:szCs w:val="21"/>
                    </w:rPr>
                    <w:t>8486</w:t>
                  </w:r>
                </w:p>
              </w:tc>
            </w:tr>
          </w:tbl>
          <w:p>
            <w:pPr>
              <w:widowControl/>
              <w:adjustRightInd w:val="0"/>
              <w:snapToGrid w:val="0"/>
              <w:spacing w:line="480" w:lineRule="exact"/>
              <w:ind w:firstLine="480" w:firstLineChars="200"/>
              <w:rPr>
                <w:rFonts w:ascii="Times New Roman" w:hAnsi="Times New Roman" w:cs="Times New Roman"/>
                <w:sz w:val="24"/>
                <w:szCs w:val="24"/>
              </w:rPr>
            </w:pPr>
            <w:r>
              <w:rPr>
                <w:rFonts w:hint="eastAsia" w:ascii="Times New Roman" w:hAnsi="Times New Roman" w:cs="Times New Roman"/>
                <w:sz w:val="24"/>
                <w:szCs w:val="24"/>
              </w:rPr>
              <w:t>则无组织排放厂界预测浓度见表37</w:t>
            </w:r>
          </w:p>
          <w:p>
            <w:pPr>
              <w:pStyle w:val="10"/>
              <w:adjustRightInd w:val="0"/>
              <w:snapToGrid w:val="0"/>
              <w:spacing w:line="360" w:lineRule="auto"/>
              <w:ind w:firstLine="440" w:firstLineChars="20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37</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无组织排放厂界浓度预测结果表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568"/>
              <w:gridCol w:w="1567"/>
              <w:gridCol w:w="1437"/>
              <w:gridCol w:w="1439"/>
              <w:gridCol w:w="1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restart"/>
                  <w:tcBorders>
                    <w:tl2br w:val="nil"/>
                    <w:tr2bl w:val="nil"/>
                  </w:tcBorders>
                  <w:vAlign w:val="center"/>
                </w:tcPr>
                <w:p>
                  <w:pPr>
                    <w:tabs>
                      <w:tab w:val="left" w:pos="1332"/>
                    </w:tabs>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名称</w:t>
                  </w:r>
                </w:p>
              </w:tc>
              <w:tc>
                <w:tcPr>
                  <w:tcW w:w="913" w:type="pct"/>
                  <w:tcBorders>
                    <w:tl2br w:val="nil"/>
                    <w:tr2bl w:val="nil"/>
                  </w:tcBorders>
                  <w:vAlign w:val="center"/>
                </w:tcPr>
                <w:p>
                  <w:pPr>
                    <w:tabs>
                      <w:tab w:val="left" w:pos="1332"/>
                    </w:tabs>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西厂界</w:t>
                  </w:r>
                </w:p>
              </w:tc>
              <w:tc>
                <w:tcPr>
                  <w:tcW w:w="913" w:type="pct"/>
                  <w:tcBorders>
                    <w:tl2br w:val="nil"/>
                    <w:tr2bl w:val="nil"/>
                  </w:tcBorders>
                  <w:vAlign w:val="center"/>
                </w:tcPr>
                <w:p>
                  <w:pPr>
                    <w:tabs>
                      <w:tab w:val="left" w:pos="1332"/>
                    </w:tabs>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东厂界</w:t>
                  </w:r>
                </w:p>
              </w:tc>
              <w:tc>
                <w:tcPr>
                  <w:tcW w:w="837" w:type="pct"/>
                  <w:tcBorders>
                    <w:tl2br w:val="nil"/>
                    <w:tr2bl w:val="nil"/>
                  </w:tcBorders>
                  <w:vAlign w:val="center"/>
                </w:tcPr>
                <w:p>
                  <w:pPr>
                    <w:tabs>
                      <w:tab w:val="left" w:pos="1332"/>
                    </w:tabs>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南长界</w:t>
                  </w:r>
                </w:p>
              </w:tc>
              <w:tc>
                <w:tcPr>
                  <w:tcW w:w="838" w:type="pct"/>
                  <w:tcBorders>
                    <w:tl2br w:val="nil"/>
                    <w:tr2bl w:val="nil"/>
                  </w:tcBorders>
                  <w:vAlign w:val="center"/>
                </w:tcPr>
                <w:p>
                  <w:pPr>
                    <w:tabs>
                      <w:tab w:val="left" w:pos="1332"/>
                    </w:tabs>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北厂界</w:t>
                  </w:r>
                </w:p>
              </w:tc>
              <w:tc>
                <w:tcPr>
                  <w:tcW w:w="897" w:type="pct"/>
                  <w:tcBorders>
                    <w:tl2br w:val="nil"/>
                    <w:tr2bl w:val="nil"/>
                  </w:tcBorders>
                  <w:vAlign w:val="center"/>
                </w:tcPr>
                <w:p>
                  <w:pPr>
                    <w:tabs>
                      <w:tab w:val="left" w:pos="1332"/>
                    </w:tabs>
                    <w:adjustRightInd w:val="0"/>
                    <w:snapToGrid w:val="0"/>
                    <w:spacing w:line="360" w:lineRule="auto"/>
                    <w:rPr>
                      <w:rFonts w:ascii="Times New Roman" w:hAnsi="Times New Roman" w:cs="Times New Roman"/>
                      <w:sz w:val="21"/>
                      <w:szCs w:val="21"/>
                    </w:rPr>
                  </w:pPr>
                  <w:r>
                    <w:rPr>
                      <w:rFonts w:ascii="Times New Roman" w:hAnsi="Times New Roman" w:cs="Times New Roman"/>
                      <w:sz w:val="21"/>
                      <w:szCs w:val="21"/>
                    </w:rPr>
                    <w:t>最大值（52m）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vMerge w:val="continue"/>
                  <w:tcBorders>
                    <w:tl2br w:val="nil"/>
                    <w:tr2bl w:val="nil"/>
                  </w:tcBorders>
                  <w:vAlign w:val="center"/>
                </w:tcPr>
                <w:p>
                  <w:pPr>
                    <w:adjustRightInd w:val="0"/>
                    <w:snapToGrid w:val="0"/>
                    <w:spacing w:line="360" w:lineRule="auto"/>
                    <w:ind w:firstLine="420" w:firstLineChars="200"/>
                    <w:jc w:val="center"/>
                    <w:rPr>
                      <w:rFonts w:ascii="Times New Roman" w:hAnsi="Times New Roman" w:cs="Times New Roman"/>
                      <w:sz w:val="21"/>
                      <w:szCs w:val="21"/>
                    </w:rPr>
                  </w:pPr>
                </w:p>
              </w:tc>
              <w:tc>
                <w:tcPr>
                  <w:tcW w:w="4400" w:type="pct"/>
                  <w:gridSpan w:val="5"/>
                  <w:tcBorders>
                    <w:tl2br w:val="nil"/>
                    <w:tr2bl w:val="nil"/>
                  </w:tcBorders>
                  <w:vAlign w:val="center"/>
                </w:tcPr>
                <w:p>
                  <w:pPr>
                    <w:tabs>
                      <w:tab w:val="left" w:pos="1332"/>
                    </w:tabs>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浓度mg/m</w:t>
                  </w:r>
                  <w:r>
                    <w:rPr>
                      <w:rFonts w:ascii="Times New Roman" w:hAnsi="Times New Roman" w:cs="Times New Roman"/>
                      <w:sz w:val="21"/>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9" w:type="pct"/>
                  <w:tcBorders>
                    <w:tl2br w:val="nil"/>
                    <w:tr2bl w:val="nil"/>
                  </w:tcBorders>
                  <w:vAlign w:val="center"/>
                </w:tcPr>
                <w:p>
                  <w:pPr>
                    <w:adjustRightInd w:val="0"/>
                    <w:snapToGrid w:val="0"/>
                    <w:spacing w:line="360" w:lineRule="auto"/>
                    <w:rPr>
                      <w:rFonts w:ascii="Times New Roman" w:hAnsi="Times New Roman" w:cs="Times New Roman"/>
                      <w:sz w:val="21"/>
                      <w:szCs w:val="21"/>
                    </w:rPr>
                  </w:pPr>
                  <w:r>
                    <w:rPr>
                      <w:rFonts w:ascii="Times New Roman" w:hAnsi="Times New Roman" w:cs="Times New Roman"/>
                      <w:sz w:val="21"/>
                      <w:szCs w:val="21"/>
                    </w:rPr>
                    <w:t>颗粒物</w:t>
                  </w:r>
                </w:p>
              </w:tc>
              <w:tc>
                <w:tcPr>
                  <w:tcW w:w="913" w:type="pct"/>
                  <w:tcBorders>
                    <w:tl2br w:val="nil"/>
                    <w:tr2bl w:val="nil"/>
                  </w:tcBorders>
                  <w:vAlign w:val="center"/>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0.00</w:t>
                  </w:r>
                  <w:r>
                    <w:rPr>
                      <w:rFonts w:hint="eastAsia" w:ascii="Times New Roman" w:hAnsi="Times New Roman" w:cs="Times New Roman"/>
                      <w:sz w:val="21"/>
                      <w:szCs w:val="21"/>
                    </w:rPr>
                    <w:t>493905</w:t>
                  </w:r>
                </w:p>
              </w:tc>
              <w:tc>
                <w:tcPr>
                  <w:tcW w:w="913" w:type="pct"/>
                  <w:tcBorders>
                    <w:tl2br w:val="nil"/>
                    <w:tr2bl w:val="nil"/>
                  </w:tcBorders>
                  <w:vAlign w:val="center"/>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0.00</w:t>
                  </w:r>
                  <w:r>
                    <w:rPr>
                      <w:rFonts w:hint="eastAsia" w:ascii="Times New Roman" w:hAnsi="Times New Roman" w:cs="Times New Roman"/>
                      <w:sz w:val="21"/>
                      <w:szCs w:val="21"/>
                    </w:rPr>
                    <w:t>73214</w:t>
                  </w:r>
                  <w:r>
                    <w:rPr>
                      <w:rFonts w:ascii="Times New Roman" w:hAnsi="Times New Roman" w:cs="Times New Roman"/>
                      <w:sz w:val="21"/>
                      <w:szCs w:val="21"/>
                    </w:rPr>
                    <w:t xml:space="preserve"> </w:t>
                  </w:r>
                </w:p>
              </w:tc>
              <w:tc>
                <w:tcPr>
                  <w:tcW w:w="837" w:type="pct"/>
                  <w:tcBorders>
                    <w:tl2br w:val="nil"/>
                    <w:tr2bl w:val="nil"/>
                  </w:tcBorders>
                  <w:vAlign w:val="center"/>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0.00</w:t>
                  </w:r>
                  <w:r>
                    <w:rPr>
                      <w:rFonts w:hint="eastAsia" w:ascii="Times New Roman" w:hAnsi="Times New Roman" w:cs="Times New Roman"/>
                      <w:sz w:val="21"/>
                      <w:szCs w:val="21"/>
                    </w:rPr>
                    <w:t>49248</w:t>
                  </w:r>
                </w:p>
              </w:tc>
              <w:tc>
                <w:tcPr>
                  <w:tcW w:w="838" w:type="pct"/>
                  <w:tcBorders>
                    <w:tl2br w:val="nil"/>
                    <w:tr2bl w:val="nil"/>
                  </w:tcBorders>
                  <w:vAlign w:val="center"/>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0.0039402</w:t>
                  </w:r>
                </w:p>
              </w:tc>
              <w:tc>
                <w:tcPr>
                  <w:tcW w:w="897" w:type="pct"/>
                  <w:tcBorders>
                    <w:tl2br w:val="nil"/>
                    <w:tr2bl w:val="nil"/>
                  </w:tcBorders>
                  <w:vAlign w:val="center"/>
                </w:tcPr>
                <w:p>
                  <w:pPr>
                    <w:adjustRightInd w:val="0"/>
                    <w:snapToGrid w:val="0"/>
                    <w:spacing w:line="360" w:lineRule="auto"/>
                    <w:jc w:val="center"/>
                    <w:rPr>
                      <w:rFonts w:ascii="Times New Roman" w:hAnsi="Times New Roman" w:cs="Times New Roman"/>
                      <w:sz w:val="21"/>
                      <w:szCs w:val="21"/>
                    </w:rPr>
                  </w:pPr>
                  <w:r>
                    <w:rPr>
                      <w:rFonts w:ascii="Times New Roman" w:hAnsi="Times New Roman" w:cs="Times New Roman"/>
                      <w:sz w:val="21"/>
                      <w:szCs w:val="21"/>
                    </w:rPr>
                    <w:t>0.00</w:t>
                  </w:r>
                  <w:r>
                    <w:rPr>
                      <w:rFonts w:hint="eastAsia" w:ascii="Times New Roman" w:hAnsi="Times New Roman" w:cs="Times New Roman"/>
                      <w:sz w:val="21"/>
                      <w:szCs w:val="21"/>
                    </w:rPr>
                    <w:t>76374</w:t>
                  </w:r>
                </w:p>
              </w:tc>
            </w:tr>
          </w:tbl>
          <w:p>
            <w:pPr>
              <w:adjustRightInd w:val="0"/>
              <w:snapToGrid w:val="0"/>
              <w:spacing w:before="190" w:beforeLines="50"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根据表37预测可知，无组织排放的颗粒物最大落地小时浓度0.0076374</w:t>
            </w:r>
            <w:r>
              <w:rPr>
                <w:rFonts w:ascii="Times New Roman" w:hAnsi="Times New Roman" w:cs="Times New Roman"/>
                <w:sz w:val="24"/>
                <w:szCs w:val="24"/>
              </w:rPr>
              <w:t>mg/m</w:t>
            </w:r>
            <w:r>
              <w:rPr>
                <w:rFonts w:ascii="Times New Roman" w:hAnsi="Times New Roman" w:cs="Times New Roman"/>
                <w:sz w:val="24"/>
                <w:szCs w:val="24"/>
                <w:vertAlign w:val="superscript"/>
              </w:rPr>
              <w:t>3</w:t>
            </w:r>
            <w:r>
              <w:rPr>
                <w:rFonts w:hint="eastAsia" w:ascii="Times New Roman" w:hAnsi="Times New Roman" w:cs="Times New Roman"/>
                <w:sz w:val="24"/>
                <w:szCs w:val="24"/>
              </w:rPr>
              <w:t>，占标率为0.8486%，出现距离为52m，厂界污染物预测浓度和敏感点预测可以达到《大气污染物综合排放标准》（GB16297-1996）表2中无组织排放监控浓度限值要求：颗粒物周界外浓度最高点≤1.0mg/m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，本项目对大气环境影响可以接受。</w:t>
            </w:r>
            <w:r>
              <w:rPr>
                <w:rFonts w:hint="eastAsia" w:ascii="Times New Roman" w:hAnsi="Times New Roman" w:cs="Times New Roman"/>
                <w:sz w:val="24"/>
                <w:szCs w:val="24"/>
                <w:lang w:val="zh-CN"/>
              </w:rPr>
              <w:t>根据《环境影响评价技术导则</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zh-CN"/>
              </w:rPr>
              <w:t>大气环境》（HJ 2.2-2018），</w:t>
            </w:r>
            <w:r>
              <w:rPr>
                <w:rFonts w:ascii="Times New Roman" w:hAnsi="Times New Roman" w:cs="Times New Roman"/>
                <w:sz w:val="24"/>
              </w:rPr>
              <w:t>项目厂界外颗粒物贡献浓度不超过环境质量浓度限值，因此无需设置大气环境防护距离。</w:t>
            </w:r>
            <w:r>
              <w:rPr>
                <w:rFonts w:hint="eastAsia" w:ascii="Times New Roman" w:hAnsi="Times New Roman" w:cs="Times New Roman"/>
                <w:sz w:val="24"/>
                <w:szCs w:val="24"/>
                <w:lang w:val="zh-CN"/>
              </w:rPr>
              <w:t>，</w:t>
            </w:r>
          </w:p>
          <w:p>
            <w:pPr>
              <w:adjustRightInd w:val="0"/>
              <w:snapToGrid w:val="0"/>
              <w:spacing w:line="360" w:lineRule="auto"/>
              <w:ind w:firstLine="480" w:firstLineChars="200"/>
              <w:rPr>
                <w:rFonts w:ascii="Times New Roman" w:hAnsi="Times New Roman" w:cs="Times New Roman"/>
                <w:sz w:val="24"/>
                <w:szCs w:val="24"/>
                <w:lang w:val="zh-CN"/>
              </w:rPr>
            </w:pPr>
            <w:r>
              <w:rPr>
                <w:rFonts w:hint="eastAsia" w:ascii="Times New Roman" w:hAnsi="Times New Roman" w:cs="Times New Roman"/>
                <w:sz w:val="24"/>
                <w:szCs w:val="24"/>
              </w:rPr>
              <w:t>1.5 项目</w:t>
            </w:r>
            <w:r>
              <w:rPr>
                <w:rFonts w:hint="eastAsia" w:ascii="Times New Roman" w:hAnsi="Times New Roman" w:cs="Times New Roman"/>
                <w:sz w:val="24"/>
                <w:szCs w:val="24"/>
                <w:lang w:val="zh-CN"/>
              </w:rPr>
              <w:t>污染物排放量核算</w:t>
            </w:r>
          </w:p>
          <w:p>
            <w:pPr>
              <w:adjustRightInd w:val="0"/>
              <w:snapToGrid w:val="0"/>
              <w:spacing w:line="360" w:lineRule="auto"/>
              <w:ind w:firstLine="480" w:firstLineChars="200"/>
              <w:rPr>
                <w:lang w:val="zh-CN"/>
              </w:rPr>
            </w:pPr>
            <w:r>
              <w:rPr>
                <w:rFonts w:hint="eastAsia" w:ascii="Times New Roman" w:hAnsi="Times New Roman" w:cs="Times New Roman"/>
                <w:sz w:val="24"/>
                <w:szCs w:val="24"/>
                <w:lang w:val="zh-CN"/>
              </w:rPr>
              <w:t>本项目有组织、无组织废气排放核算情况见表</w:t>
            </w:r>
            <w:r>
              <w:rPr>
                <w:rFonts w:hint="eastAsia" w:ascii="Times New Roman" w:hAnsi="Times New Roman" w:cs="Times New Roman"/>
                <w:sz w:val="24"/>
                <w:szCs w:val="24"/>
              </w:rPr>
              <w:t>38，表39</w:t>
            </w:r>
            <w:r>
              <w:rPr>
                <w:rFonts w:hint="eastAsia" w:ascii="Times New Roman" w:hAnsi="Times New Roman" w:cs="Times New Roman"/>
                <w:sz w:val="24"/>
                <w:szCs w:val="24"/>
                <w:lang w:val="zh-CN"/>
              </w:rPr>
              <w:t>。</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38</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大气污染物有组织排放量核算表</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297"/>
              <w:gridCol w:w="1097"/>
              <w:gridCol w:w="2186"/>
              <w:gridCol w:w="1828"/>
              <w:gridCol w:w="16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4" w:type="pct"/>
                  <w:tcBorders>
                    <w:tl2br w:val="nil"/>
                    <w:tr2bl w:val="nil"/>
                  </w:tcBorders>
                  <w:shd w:val="clear" w:color="auto" w:fill="auto"/>
                  <w:vAlign w:val="center"/>
                </w:tcPr>
                <w:p>
                  <w:pPr>
                    <w:spacing w:line="24" w:lineRule="atLeast"/>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756" w:type="pct"/>
                  <w:tcBorders>
                    <w:tl2br w:val="nil"/>
                    <w:tr2bl w:val="nil"/>
                  </w:tcBorders>
                  <w:shd w:val="clear" w:color="auto" w:fill="auto"/>
                  <w:vAlign w:val="center"/>
                </w:tcPr>
                <w:p>
                  <w:pPr>
                    <w:spacing w:line="24" w:lineRule="atLeast"/>
                    <w:jc w:val="center"/>
                    <w:rPr>
                      <w:rFonts w:ascii="Times New Roman" w:hAnsi="Times New Roman" w:cs="Times New Roman"/>
                      <w:b/>
                      <w:bCs/>
                      <w:sz w:val="21"/>
                      <w:szCs w:val="21"/>
                    </w:rPr>
                  </w:pPr>
                  <w:r>
                    <w:rPr>
                      <w:rFonts w:ascii="Times New Roman" w:hAnsi="Times New Roman" w:cs="Times New Roman"/>
                      <w:b/>
                      <w:bCs/>
                      <w:sz w:val="21"/>
                      <w:szCs w:val="21"/>
                    </w:rPr>
                    <w:t>排放口编号</w:t>
                  </w:r>
                </w:p>
              </w:tc>
              <w:tc>
                <w:tcPr>
                  <w:tcW w:w="639" w:type="pct"/>
                  <w:tcBorders>
                    <w:tl2br w:val="nil"/>
                    <w:tr2bl w:val="nil"/>
                  </w:tcBorders>
                  <w:shd w:val="clear" w:color="auto" w:fill="auto"/>
                  <w:vAlign w:val="center"/>
                </w:tcPr>
                <w:p>
                  <w:pPr>
                    <w:spacing w:line="24" w:lineRule="atLeast"/>
                    <w:jc w:val="center"/>
                    <w:rPr>
                      <w:rFonts w:ascii="Times New Roman" w:hAnsi="Times New Roman" w:cs="Times New Roman"/>
                      <w:b/>
                      <w:bCs/>
                      <w:sz w:val="21"/>
                      <w:szCs w:val="21"/>
                    </w:rPr>
                  </w:pPr>
                  <w:r>
                    <w:rPr>
                      <w:rFonts w:ascii="Times New Roman" w:hAnsi="Times New Roman" w:cs="Times New Roman"/>
                      <w:b/>
                      <w:bCs/>
                      <w:sz w:val="21"/>
                      <w:szCs w:val="21"/>
                    </w:rPr>
                    <w:t>污染物</w:t>
                  </w:r>
                </w:p>
              </w:tc>
              <w:tc>
                <w:tcPr>
                  <w:tcW w:w="1274" w:type="pct"/>
                  <w:tcBorders>
                    <w:tl2br w:val="nil"/>
                    <w:tr2bl w:val="nil"/>
                  </w:tcBorders>
                  <w:shd w:val="clear" w:color="auto" w:fill="auto"/>
                  <w:vAlign w:val="center"/>
                </w:tcPr>
                <w:p>
                  <w:pPr>
                    <w:spacing w:line="24" w:lineRule="atLeast"/>
                    <w:jc w:val="center"/>
                    <w:rPr>
                      <w:rFonts w:ascii="Times New Roman" w:hAnsi="Times New Roman" w:cs="Times New Roman"/>
                      <w:b/>
                      <w:bCs/>
                      <w:sz w:val="21"/>
                      <w:szCs w:val="21"/>
                    </w:rPr>
                  </w:pPr>
                  <w:r>
                    <w:rPr>
                      <w:rFonts w:ascii="Times New Roman" w:hAnsi="Times New Roman" w:cs="Times New Roman"/>
                      <w:b/>
                      <w:bCs/>
                      <w:sz w:val="21"/>
                      <w:szCs w:val="21"/>
                    </w:rPr>
                    <w:t>核算排放浓度/(mg/m</w:t>
                  </w:r>
                  <w:r>
                    <w:rPr>
                      <w:rFonts w:ascii="Times New Roman" w:hAnsi="Times New Roman" w:cs="Times New Roman"/>
                      <w:b/>
                      <w:bCs/>
                      <w:sz w:val="21"/>
                      <w:szCs w:val="21"/>
                      <w:vertAlign w:val="superscript"/>
                    </w:rPr>
                    <w:t>3</w:t>
                  </w:r>
                  <w:r>
                    <w:rPr>
                      <w:rFonts w:ascii="Times New Roman" w:hAnsi="Times New Roman" w:cs="Times New Roman"/>
                      <w:b/>
                      <w:bCs/>
                      <w:sz w:val="21"/>
                      <w:szCs w:val="21"/>
                    </w:rPr>
                    <w:t>)</w:t>
                  </w:r>
                </w:p>
              </w:tc>
              <w:tc>
                <w:tcPr>
                  <w:tcW w:w="1063" w:type="pct"/>
                  <w:tcBorders>
                    <w:tl2br w:val="nil"/>
                    <w:tr2bl w:val="nil"/>
                  </w:tcBorders>
                  <w:shd w:val="clear" w:color="auto" w:fill="auto"/>
                  <w:vAlign w:val="center"/>
                </w:tcPr>
                <w:p>
                  <w:pPr>
                    <w:spacing w:line="24" w:lineRule="atLeast"/>
                    <w:jc w:val="center"/>
                    <w:rPr>
                      <w:rFonts w:ascii="Times New Roman" w:hAnsi="Times New Roman" w:cs="Times New Roman"/>
                      <w:b/>
                      <w:bCs/>
                      <w:sz w:val="21"/>
                      <w:szCs w:val="21"/>
                    </w:rPr>
                  </w:pPr>
                  <w:r>
                    <w:rPr>
                      <w:rFonts w:ascii="Times New Roman" w:hAnsi="Times New Roman" w:cs="Times New Roman"/>
                      <w:b/>
                      <w:bCs/>
                      <w:sz w:val="21"/>
                      <w:szCs w:val="21"/>
                    </w:rPr>
                    <w:t>核算排放速率/(kg/h)</w:t>
                  </w:r>
                </w:p>
              </w:tc>
              <w:tc>
                <w:tcPr>
                  <w:tcW w:w="941" w:type="pct"/>
                  <w:tcBorders>
                    <w:tl2br w:val="nil"/>
                    <w:tr2bl w:val="nil"/>
                  </w:tcBorders>
                  <w:shd w:val="clear" w:color="auto" w:fill="auto"/>
                  <w:vAlign w:val="center"/>
                </w:tcPr>
                <w:p>
                  <w:pPr>
                    <w:spacing w:line="24" w:lineRule="atLeast"/>
                    <w:jc w:val="center"/>
                    <w:rPr>
                      <w:rFonts w:ascii="Times New Roman" w:hAnsi="Times New Roman" w:cs="Times New Roman"/>
                      <w:b/>
                      <w:bCs/>
                      <w:sz w:val="21"/>
                      <w:szCs w:val="21"/>
                    </w:rPr>
                  </w:pPr>
                  <w:r>
                    <w:rPr>
                      <w:rFonts w:ascii="Times New Roman" w:hAnsi="Times New Roman" w:cs="Times New Roman"/>
                      <w:b/>
                      <w:bCs/>
                      <w:sz w:val="21"/>
                      <w:szCs w:val="21"/>
                    </w:rPr>
                    <w:t>核算排放量/(t/a)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6"/>
                  <w:tcBorders>
                    <w:tl2br w:val="nil"/>
                    <w:tr2bl w:val="nil"/>
                  </w:tcBorders>
                  <w:shd w:val="clear" w:color="auto" w:fill="auto"/>
                  <w:vAlign w:val="center"/>
                </w:tcPr>
                <w:p>
                  <w:pPr>
                    <w:spacing w:line="24" w:lineRule="atLeast"/>
                    <w:jc w:val="center"/>
                    <w:rPr>
                      <w:rFonts w:ascii="Times New Roman" w:hAnsi="Times New Roman" w:cs="Times New Roman"/>
                      <w:b/>
                      <w:bCs/>
                      <w:sz w:val="21"/>
                    </w:rPr>
                  </w:pPr>
                  <w:r>
                    <w:rPr>
                      <w:rFonts w:ascii="Times New Roman" w:hAnsi="Times New Roman" w:cs="Times New Roman"/>
                      <w:sz w:val="21"/>
                    </w:rPr>
                    <w:t>主要排放口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4" w:type="pct"/>
                  <w:tcBorders>
                    <w:tl2br w:val="nil"/>
                    <w:tr2bl w:val="nil"/>
                  </w:tcBorders>
                  <w:shd w:val="clear" w:color="auto" w:fill="auto"/>
                  <w:vAlign w:val="center"/>
                </w:tcPr>
                <w:p>
                  <w:pPr>
                    <w:spacing w:line="24" w:lineRule="atLeast"/>
                    <w:jc w:val="center"/>
                    <w:rPr>
                      <w:rFonts w:ascii="Times New Roman" w:hAnsi="Times New Roman" w:cs="Times New Roman"/>
                      <w:sz w:val="21"/>
                    </w:rPr>
                  </w:pPr>
                  <w:r>
                    <w:rPr>
                      <w:rFonts w:ascii="Times New Roman" w:hAnsi="Times New Roman" w:cs="Times New Roman"/>
                      <w:sz w:val="21"/>
                    </w:rPr>
                    <w:t>1</w:t>
                  </w:r>
                </w:p>
              </w:tc>
              <w:tc>
                <w:tcPr>
                  <w:tcW w:w="756" w:type="pct"/>
                  <w:tcBorders>
                    <w:tl2br w:val="nil"/>
                    <w:tr2bl w:val="nil"/>
                  </w:tcBorders>
                  <w:shd w:val="clear" w:color="auto" w:fill="auto"/>
                  <w:vAlign w:val="center"/>
                </w:tcPr>
                <w:p>
                  <w:pPr>
                    <w:spacing w:line="24" w:lineRule="atLeast"/>
                    <w:jc w:val="center"/>
                    <w:rPr>
                      <w:rFonts w:ascii="Times New Roman" w:hAnsi="Times New Roman" w:cs="Times New Roman"/>
                      <w:sz w:val="21"/>
                    </w:rPr>
                  </w:pPr>
                  <w:r>
                    <w:rPr>
                      <w:rFonts w:ascii="Times New Roman" w:hAnsi="Times New Roman" w:cs="Times New Roman"/>
                      <w:sz w:val="21"/>
                    </w:rPr>
                    <w:t>P1</w:t>
                  </w:r>
                </w:p>
              </w:tc>
              <w:tc>
                <w:tcPr>
                  <w:tcW w:w="639" w:type="pct"/>
                  <w:tcBorders>
                    <w:tl2br w:val="nil"/>
                    <w:tr2bl w:val="nil"/>
                  </w:tcBorders>
                  <w:shd w:val="clear" w:color="auto" w:fill="auto"/>
                  <w:vAlign w:val="center"/>
                </w:tcPr>
                <w:p>
                  <w:pPr>
                    <w:spacing w:line="24" w:lineRule="atLeast"/>
                    <w:jc w:val="center"/>
                    <w:rPr>
                      <w:rFonts w:ascii="Times New Roman" w:hAnsi="Times New Roman" w:cs="Times New Roman"/>
                      <w:sz w:val="21"/>
                    </w:rPr>
                  </w:pPr>
                  <w:r>
                    <w:rPr>
                      <w:rFonts w:hint="eastAsia" w:ascii="Times New Roman" w:hAnsi="Times New Roman" w:cs="Times New Roman"/>
                      <w:kern w:val="0"/>
                      <w:sz w:val="21"/>
                      <w:szCs w:val="21"/>
                    </w:rPr>
                    <w:t>颗粒物</w:t>
                  </w:r>
                </w:p>
              </w:tc>
              <w:tc>
                <w:tcPr>
                  <w:tcW w:w="1274" w:type="pct"/>
                  <w:tcBorders>
                    <w:tl2br w:val="nil"/>
                    <w:tr2bl w:val="nil"/>
                  </w:tcBorders>
                  <w:shd w:val="clear" w:color="auto" w:fill="auto"/>
                  <w:vAlign w:val="center"/>
                </w:tcPr>
                <w:p>
                  <w:pPr>
                    <w:spacing w:line="24" w:lineRule="atLeast"/>
                    <w:jc w:val="center"/>
                    <w:rPr>
                      <w:rFonts w:ascii="Times New Roman" w:hAnsi="Times New Roman" w:cs="Times New Roman"/>
                      <w:sz w:val="21"/>
                      <w:szCs w:val="21"/>
                    </w:rPr>
                  </w:pPr>
                  <w:r>
                    <w:rPr>
                      <w:rFonts w:ascii="Times New Roman" w:hAnsi="Times New Roman" w:cs="Times New Roman"/>
                      <w:sz w:val="21"/>
                      <w:szCs w:val="21"/>
                    </w:rPr>
                    <w:t>手动切割磨边工序</w:t>
                  </w:r>
                </w:p>
              </w:tc>
              <w:tc>
                <w:tcPr>
                  <w:tcW w:w="1063" w:type="pct"/>
                  <w:tcBorders>
                    <w:tl2br w:val="nil"/>
                    <w:tr2bl w:val="nil"/>
                  </w:tcBorders>
                  <w:shd w:val="clear" w:color="auto" w:fill="auto"/>
                  <w:vAlign w:val="center"/>
                </w:tcPr>
                <w:p>
                  <w:pPr>
                    <w:spacing w:line="24" w:lineRule="atLeast"/>
                    <w:jc w:val="center"/>
                    <w:rPr>
                      <w:rFonts w:ascii="Times New Roman" w:hAnsi="Times New Roman" w:cs="Times New Roman"/>
                      <w:sz w:val="21"/>
                      <w:szCs w:val="21"/>
                    </w:rPr>
                  </w:pPr>
                  <w:r>
                    <w:rPr>
                      <w:rFonts w:ascii="Times New Roman" w:hAnsi="Times New Roman" w:cs="Times New Roman"/>
                      <w:sz w:val="21"/>
                      <w:szCs w:val="21"/>
                    </w:rPr>
                    <w:t>0.00</w:t>
                  </w:r>
                  <w:r>
                    <w:rPr>
                      <w:rFonts w:hint="eastAsia" w:ascii="Times New Roman" w:hAnsi="Times New Roman" w:cs="Times New Roman"/>
                      <w:sz w:val="21"/>
                      <w:szCs w:val="21"/>
                    </w:rPr>
                    <w:t>93</w:t>
                  </w:r>
                </w:p>
              </w:tc>
              <w:tc>
                <w:tcPr>
                  <w:tcW w:w="941" w:type="pct"/>
                  <w:tcBorders>
                    <w:tl2br w:val="nil"/>
                    <w:tr2bl w:val="nil"/>
                  </w:tcBorders>
                  <w:shd w:val="clear" w:color="auto" w:fill="auto"/>
                  <w:vAlign w:val="center"/>
                </w:tcPr>
                <w:p>
                  <w:pPr>
                    <w:spacing w:line="24" w:lineRule="atLeast"/>
                    <w:jc w:val="center"/>
                    <w:rPr>
                      <w:rFonts w:ascii="Times New Roman" w:hAnsi="Times New Roman" w:cs="Times New Roman"/>
                      <w:sz w:val="21"/>
                      <w:szCs w:val="21"/>
                    </w:rPr>
                  </w:pPr>
                  <w:r>
                    <w:rPr>
                      <w:rFonts w:ascii="Times New Roman" w:hAnsi="Times New Roman" w:cs="Times New Roman"/>
                      <w:sz w:val="21"/>
                      <w:szCs w:val="21"/>
                    </w:rPr>
                    <w:t>0.00</w:t>
                  </w:r>
                  <w:r>
                    <w:rPr>
                      <w:rFonts w:hint="eastAsia" w:ascii="Times New Roman" w:hAnsi="Times New Roman" w:cs="Times New Roman"/>
                      <w:sz w:val="21"/>
                      <w:szCs w:val="21"/>
                    </w:rPr>
                    <w:t>558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pct"/>
                  <w:gridSpan w:val="2"/>
                  <w:tcBorders>
                    <w:tl2br w:val="nil"/>
                    <w:tr2bl w:val="nil"/>
                  </w:tcBorders>
                  <w:shd w:val="clear" w:color="auto" w:fill="auto"/>
                  <w:vAlign w:val="center"/>
                </w:tcPr>
                <w:p>
                  <w:pPr>
                    <w:spacing w:line="24" w:lineRule="atLeast"/>
                    <w:jc w:val="center"/>
                    <w:rPr>
                      <w:rFonts w:ascii="Times New Roman" w:hAnsi="Times New Roman" w:cs="Times New Roman"/>
                      <w:sz w:val="21"/>
                    </w:rPr>
                  </w:pPr>
                  <w:r>
                    <w:rPr>
                      <w:rFonts w:ascii="Times New Roman" w:hAnsi="Times New Roman" w:cs="Times New Roman"/>
                      <w:sz w:val="21"/>
                    </w:rPr>
                    <w:t>主要排放口合计</w:t>
                  </w:r>
                </w:p>
              </w:tc>
              <w:tc>
                <w:tcPr>
                  <w:tcW w:w="2978" w:type="pct"/>
                  <w:gridSpan w:val="3"/>
                  <w:tcBorders>
                    <w:tl2br w:val="nil"/>
                    <w:tr2bl w:val="nil"/>
                  </w:tcBorders>
                  <w:shd w:val="clear" w:color="auto" w:fill="auto"/>
                  <w:vAlign w:val="center"/>
                </w:tcPr>
                <w:p>
                  <w:pPr>
                    <w:spacing w:line="24" w:lineRule="atLeast"/>
                    <w:jc w:val="center"/>
                    <w:rPr>
                      <w:rFonts w:ascii="Times New Roman" w:hAnsi="Times New Roman" w:cs="Times New Roman"/>
                      <w:sz w:val="21"/>
                    </w:rPr>
                  </w:pPr>
                  <w:r>
                    <w:rPr>
                      <w:rFonts w:ascii="Times New Roman" w:hAnsi="Times New Roman" w:cs="Times New Roman"/>
                      <w:kern w:val="0"/>
                      <w:sz w:val="24"/>
                      <w:szCs w:val="24"/>
                    </w:rPr>
                    <w:t>PM</w:t>
                  </w:r>
                  <w:r>
                    <w:rPr>
                      <w:rFonts w:ascii="Times New Roman" w:hAnsi="Times New Roman" w:cs="Times New Roman"/>
                      <w:kern w:val="0"/>
                      <w:sz w:val="24"/>
                      <w:szCs w:val="24"/>
                      <w:vertAlign w:val="subscript"/>
                    </w:rPr>
                    <w:t>10</w:t>
                  </w:r>
                </w:p>
              </w:tc>
              <w:tc>
                <w:tcPr>
                  <w:tcW w:w="941" w:type="pct"/>
                  <w:tcBorders>
                    <w:tl2br w:val="nil"/>
                    <w:tr2bl w:val="nil"/>
                  </w:tcBorders>
                  <w:shd w:val="clear" w:color="auto" w:fill="auto"/>
                  <w:vAlign w:val="center"/>
                </w:tcPr>
                <w:p>
                  <w:pPr>
                    <w:spacing w:line="24" w:lineRule="atLeast"/>
                    <w:jc w:val="center"/>
                    <w:rPr>
                      <w:rFonts w:ascii="Times New Roman" w:hAnsi="Times New Roman" w:cs="Times New Roman"/>
                      <w:sz w:val="21"/>
                      <w:szCs w:val="21"/>
                    </w:rPr>
                  </w:pPr>
                  <w:r>
                    <w:rPr>
                      <w:rFonts w:ascii="Times New Roman" w:hAnsi="Times New Roman" w:cs="Times New Roman"/>
                      <w:sz w:val="21"/>
                      <w:szCs w:val="21"/>
                    </w:rPr>
                    <w:t>0.00</w:t>
                  </w:r>
                  <w:r>
                    <w:rPr>
                      <w:rFonts w:hint="eastAsia" w:ascii="Times New Roman" w:hAnsi="Times New Roman" w:cs="Times New Roman"/>
                      <w:sz w:val="21"/>
                      <w:szCs w:val="21"/>
                    </w:rPr>
                    <w:t>558</w:t>
                  </w:r>
                </w:p>
              </w:tc>
            </w:tr>
          </w:tbl>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39</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大气污染物无组织排放量核算表</w:t>
            </w:r>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8"/>
              <w:gridCol w:w="1042"/>
              <w:gridCol w:w="836"/>
              <w:gridCol w:w="1022"/>
              <w:gridCol w:w="2644"/>
              <w:gridCol w:w="1303"/>
              <w:gridCol w:w="98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2" w:hRule="atLeast"/>
                <w:jc w:val="center"/>
              </w:trPr>
              <w:tc>
                <w:tcPr>
                  <w:tcW w:w="441" w:type="pct"/>
                  <w:vMerge w:val="restart"/>
                  <w:tcBorders>
                    <w:tl2br w:val="nil"/>
                    <w:tr2bl w:val="nil"/>
                  </w:tcBorders>
                  <w:vAlign w:val="center"/>
                </w:tcPr>
                <w:p>
                  <w:pPr>
                    <w:snapToGrid w:val="0"/>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606" w:type="pct"/>
                  <w:vMerge w:val="restart"/>
                  <w:tcBorders>
                    <w:tl2br w:val="nil"/>
                    <w:tr2bl w:val="nil"/>
                  </w:tcBorders>
                  <w:vAlign w:val="center"/>
                </w:tcPr>
                <w:p>
                  <w:pPr>
                    <w:snapToGrid w:val="0"/>
                    <w:jc w:val="center"/>
                    <w:rPr>
                      <w:rFonts w:ascii="Times New Roman" w:hAnsi="Times New Roman" w:cs="Times New Roman"/>
                      <w:b/>
                      <w:bCs/>
                      <w:sz w:val="21"/>
                      <w:szCs w:val="21"/>
                    </w:rPr>
                  </w:pPr>
                  <w:r>
                    <w:rPr>
                      <w:rFonts w:ascii="Times New Roman" w:hAnsi="Times New Roman" w:cs="Times New Roman"/>
                      <w:b/>
                      <w:bCs/>
                      <w:sz w:val="21"/>
                      <w:szCs w:val="21"/>
                    </w:rPr>
                    <w:t>产污</w:t>
                  </w:r>
                </w:p>
                <w:p>
                  <w:pPr>
                    <w:snapToGrid w:val="0"/>
                    <w:jc w:val="center"/>
                    <w:rPr>
                      <w:rFonts w:ascii="Times New Roman" w:hAnsi="Times New Roman" w:cs="Times New Roman"/>
                      <w:b/>
                      <w:bCs/>
                      <w:sz w:val="21"/>
                      <w:szCs w:val="21"/>
                    </w:rPr>
                  </w:pPr>
                  <w:r>
                    <w:rPr>
                      <w:rFonts w:ascii="Times New Roman" w:hAnsi="Times New Roman" w:cs="Times New Roman"/>
                      <w:b/>
                      <w:bCs/>
                      <w:sz w:val="21"/>
                      <w:szCs w:val="21"/>
                    </w:rPr>
                    <w:t>环节</w:t>
                  </w:r>
                </w:p>
              </w:tc>
              <w:tc>
                <w:tcPr>
                  <w:tcW w:w="486" w:type="pct"/>
                  <w:vMerge w:val="restart"/>
                  <w:tcBorders>
                    <w:tl2br w:val="nil"/>
                    <w:tr2bl w:val="nil"/>
                  </w:tcBorders>
                  <w:vAlign w:val="center"/>
                </w:tcPr>
                <w:p>
                  <w:pPr>
                    <w:snapToGrid w:val="0"/>
                    <w:jc w:val="center"/>
                    <w:rPr>
                      <w:rFonts w:ascii="Times New Roman" w:hAnsi="Times New Roman" w:cs="Times New Roman"/>
                      <w:b/>
                      <w:bCs/>
                      <w:sz w:val="21"/>
                      <w:szCs w:val="21"/>
                    </w:rPr>
                  </w:pPr>
                  <w:r>
                    <w:rPr>
                      <w:rFonts w:ascii="Times New Roman" w:hAnsi="Times New Roman" w:cs="Times New Roman"/>
                      <w:b/>
                      <w:bCs/>
                      <w:sz w:val="21"/>
                      <w:szCs w:val="21"/>
                    </w:rPr>
                    <w:t>污染物</w:t>
                  </w:r>
                </w:p>
              </w:tc>
              <w:tc>
                <w:tcPr>
                  <w:tcW w:w="595" w:type="pct"/>
                  <w:vMerge w:val="restart"/>
                  <w:tcBorders>
                    <w:tl2br w:val="nil"/>
                    <w:tr2bl w:val="nil"/>
                  </w:tcBorders>
                  <w:vAlign w:val="center"/>
                </w:tcPr>
                <w:p>
                  <w:pPr>
                    <w:snapToGrid w:val="0"/>
                    <w:jc w:val="center"/>
                    <w:rPr>
                      <w:rFonts w:ascii="Times New Roman" w:hAnsi="Times New Roman" w:cs="Times New Roman"/>
                      <w:b/>
                      <w:bCs/>
                      <w:sz w:val="21"/>
                      <w:szCs w:val="21"/>
                    </w:rPr>
                  </w:pPr>
                  <w:r>
                    <w:rPr>
                      <w:rFonts w:ascii="Times New Roman" w:hAnsi="Times New Roman" w:cs="Times New Roman"/>
                      <w:b/>
                      <w:bCs/>
                      <w:sz w:val="21"/>
                      <w:szCs w:val="21"/>
                    </w:rPr>
                    <w:t>主要污染防治措施</w:t>
                  </w:r>
                </w:p>
              </w:tc>
              <w:tc>
                <w:tcPr>
                  <w:tcW w:w="2297" w:type="pct"/>
                  <w:gridSpan w:val="2"/>
                  <w:tcBorders>
                    <w:tl2br w:val="nil"/>
                    <w:tr2bl w:val="nil"/>
                  </w:tcBorders>
                  <w:vAlign w:val="center"/>
                </w:tcPr>
                <w:p>
                  <w:pPr>
                    <w:snapToGrid w:val="0"/>
                    <w:jc w:val="center"/>
                    <w:rPr>
                      <w:rFonts w:ascii="Times New Roman" w:hAnsi="Times New Roman" w:cs="Times New Roman"/>
                      <w:b/>
                      <w:bCs/>
                      <w:sz w:val="21"/>
                      <w:szCs w:val="21"/>
                    </w:rPr>
                  </w:pPr>
                  <w:r>
                    <w:rPr>
                      <w:rFonts w:ascii="Times New Roman" w:hAnsi="Times New Roman" w:cs="Times New Roman"/>
                      <w:b/>
                      <w:bCs/>
                      <w:sz w:val="21"/>
                      <w:szCs w:val="21"/>
                    </w:rPr>
                    <w:t>国家或地方污染物排放标准</w:t>
                  </w:r>
                </w:p>
              </w:tc>
              <w:tc>
                <w:tcPr>
                  <w:tcW w:w="571" w:type="pct"/>
                  <w:vMerge w:val="restart"/>
                  <w:tcBorders>
                    <w:tl2br w:val="nil"/>
                    <w:tr2bl w:val="nil"/>
                  </w:tcBorders>
                  <w:vAlign w:val="center"/>
                </w:tcPr>
                <w:p>
                  <w:pPr>
                    <w:snapToGrid w:val="0"/>
                    <w:jc w:val="center"/>
                    <w:rPr>
                      <w:rFonts w:ascii="Times New Roman" w:hAnsi="Times New Roman" w:cs="Times New Roman"/>
                      <w:b/>
                      <w:bCs/>
                      <w:sz w:val="21"/>
                      <w:szCs w:val="21"/>
                    </w:rPr>
                  </w:pPr>
                  <w:r>
                    <w:rPr>
                      <w:rFonts w:ascii="Times New Roman" w:hAnsi="Times New Roman" w:cs="Times New Roman"/>
                      <w:b/>
                      <w:bCs/>
                      <w:sz w:val="21"/>
                      <w:szCs w:val="21"/>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441" w:type="pct"/>
                  <w:vMerge w:val="continue"/>
                  <w:tcBorders>
                    <w:tl2br w:val="nil"/>
                    <w:tr2bl w:val="nil"/>
                  </w:tcBorders>
                  <w:vAlign w:val="center"/>
                </w:tcPr>
                <w:p>
                  <w:pPr>
                    <w:snapToGrid w:val="0"/>
                    <w:jc w:val="center"/>
                    <w:rPr>
                      <w:rFonts w:ascii="Times New Roman" w:hAnsi="Times New Roman" w:cs="Times New Roman"/>
                      <w:b/>
                      <w:sz w:val="21"/>
                      <w:szCs w:val="21"/>
                    </w:rPr>
                  </w:pPr>
                </w:p>
              </w:tc>
              <w:tc>
                <w:tcPr>
                  <w:tcW w:w="606" w:type="pct"/>
                  <w:vMerge w:val="continue"/>
                  <w:tcBorders>
                    <w:tl2br w:val="nil"/>
                    <w:tr2bl w:val="nil"/>
                  </w:tcBorders>
                  <w:vAlign w:val="center"/>
                </w:tcPr>
                <w:p>
                  <w:pPr>
                    <w:snapToGrid w:val="0"/>
                    <w:jc w:val="center"/>
                    <w:rPr>
                      <w:rFonts w:ascii="Times New Roman" w:hAnsi="Times New Roman" w:cs="Times New Roman"/>
                      <w:b/>
                      <w:sz w:val="21"/>
                      <w:szCs w:val="21"/>
                    </w:rPr>
                  </w:pPr>
                </w:p>
              </w:tc>
              <w:tc>
                <w:tcPr>
                  <w:tcW w:w="486" w:type="pct"/>
                  <w:vMerge w:val="continue"/>
                  <w:tcBorders>
                    <w:tl2br w:val="nil"/>
                    <w:tr2bl w:val="nil"/>
                  </w:tcBorders>
                  <w:vAlign w:val="center"/>
                </w:tcPr>
                <w:p>
                  <w:pPr>
                    <w:snapToGrid w:val="0"/>
                    <w:jc w:val="center"/>
                    <w:rPr>
                      <w:rFonts w:ascii="Times New Roman" w:hAnsi="Times New Roman" w:cs="Times New Roman"/>
                      <w:b/>
                      <w:sz w:val="21"/>
                      <w:szCs w:val="21"/>
                    </w:rPr>
                  </w:pPr>
                </w:p>
              </w:tc>
              <w:tc>
                <w:tcPr>
                  <w:tcW w:w="595" w:type="pct"/>
                  <w:vMerge w:val="continue"/>
                  <w:tcBorders>
                    <w:tl2br w:val="nil"/>
                    <w:tr2bl w:val="nil"/>
                  </w:tcBorders>
                  <w:vAlign w:val="center"/>
                </w:tcPr>
                <w:p>
                  <w:pPr>
                    <w:snapToGrid w:val="0"/>
                    <w:jc w:val="center"/>
                    <w:rPr>
                      <w:rFonts w:ascii="Times New Roman" w:hAnsi="Times New Roman" w:cs="Times New Roman"/>
                      <w:b/>
                      <w:sz w:val="21"/>
                      <w:szCs w:val="21"/>
                    </w:rPr>
                  </w:pPr>
                </w:p>
              </w:tc>
              <w:tc>
                <w:tcPr>
                  <w:tcW w:w="1539" w:type="pct"/>
                  <w:tcBorders>
                    <w:tl2br w:val="nil"/>
                    <w:tr2bl w:val="nil"/>
                  </w:tcBorders>
                  <w:vAlign w:val="center"/>
                </w:tcPr>
                <w:p>
                  <w:pPr>
                    <w:snapToGrid w:val="0"/>
                    <w:jc w:val="center"/>
                    <w:rPr>
                      <w:rFonts w:ascii="Times New Roman" w:hAnsi="Times New Roman" w:cs="Times New Roman"/>
                      <w:b/>
                      <w:sz w:val="21"/>
                      <w:szCs w:val="21"/>
                    </w:rPr>
                  </w:pPr>
                  <w:r>
                    <w:rPr>
                      <w:rFonts w:ascii="Times New Roman" w:hAnsi="Times New Roman" w:cs="Times New Roman"/>
                      <w:b/>
                      <w:sz w:val="21"/>
                      <w:szCs w:val="21"/>
                    </w:rPr>
                    <w:t>标准名称</w:t>
                  </w:r>
                </w:p>
              </w:tc>
              <w:tc>
                <w:tcPr>
                  <w:tcW w:w="757" w:type="pct"/>
                  <w:tcBorders>
                    <w:tl2br w:val="nil"/>
                    <w:tr2bl w:val="nil"/>
                  </w:tcBorders>
                  <w:vAlign w:val="center"/>
                </w:tcPr>
                <w:p>
                  <w:pPr>
                    <w:snapToGrid w:val="0"/>
                    <w:jc w:val="center"/>
                    <w:rPr>
                      <w:rFonts w:ascii="Times New Roman" w:hAnsi="Times New Roman" w:cs="Times New Roman"/>
                      <w:b/>
                      <w:sz w:val="21"/>
                      <w:szCs w:val="21"/>
                    </w:rPr>
                  </w:pPr>
                  <w:r>
                    <w:rPr>
                      <w:rFonts w:ascii="Times New Roman" w:hAnsi="Times New Roman" w:cs="Times New Roman"/>
                      <w:b/>
                      <w:sz w:val="21"/>
                      <w:szCs w:val="21"/>
                    </w:rPr>
                    <w:t>浓度限值/</w:t>
                  </w:r>
                </w:p>
                <w:p>
                  <w:pPr>
                    <w:snapToGrid w:val="0"/>
                    <w:jc w:val="center"/>
                    <w:rPr>
                      <w:rFonts w:ascii="Times New Roman" w:hAnsi="Times New Roman" w:cs="Times New Roman"/>
                      <w:b/>
                      <w:sz w:val="21"/>
                      <w:szCs w:val="21"/>
                    </w:rPr>
                  </w:pPr>
                  <w:r>
                    <w:rPr>
                      <w:rFonts w:ascii="Times New Roman" w:hAnsi="Times New Roman" w:cs="Times New Roman"/>
                      <w:b/>
                      <w:sz w:val="21"/>
                      <w:szCs w:val="21"/>
                    </w:rPr>
                    <w:t>（mg/m</w:t>
                  </w:r>
                  <w:r>
                    <w:rPr>
                      <w:rFonts w:ascii="Times New Roman" w:hAnsi="Times New Roman" w:cs="Times New Roman"/>
                      <w:b/>
                      <w:sz w:val="21"/>
                      <w:szCs w:val="21"/>
                      <w:vertAlign w:val="superscript"/>
                    </w:rPr>
                    <w:t>3</w:t>
                  </w:r>
                  <w:r>
                    <w:rPr>
                      <w:rFonts w:ascii="Times New Roman" w:hAnsi="Times New Roman" w:cs="Times New Roman"/>
                      <w:b/>
                      <w:sz w:val="21"/>
                      <w:szCs w:val="21"/>
                    </w:rPr>
                    <w:t>）</w:t>
                  </w:r>
                </w:p>
              </w:tc>
              <w:tc>
                <w:tcPr>
                  <w:tcW w:w="571" w:type="pct"/>
                  <w:vMerge w:val="continue"/>
                  <w:tcBorders>
                    <w:tl2br w:val="nil"/>
                    <w:tr2bl w:val="nil"/>
                  </w:tcBorders>
                  <w:vAlign w:val="center"/>
                </w:tcPr>
                <w:p>
                  <w:pPr>
                    <w:snapToGrid w:val="0"/>
                    <w:jc w:val="center"/>
                    <w:rPr>
                      <w:rFonts w:ascii="Times New Roman" w:hAnsi="Times New Roman"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34" w:hRule="atLeast"/>
                <w:jc w:val="center"/>
              </w:trPr>
              <w:tc>
                <w:tcPr>
                  <w:tcW w:w="441" w:type="pct"/>
                  <w:tcBorders>
                    <w:tl2br w:val="nil"/>
                    <w:tr2bl w:val="nil"/>
                  </w:tcBorders>
                  <w:vAlign w:val="center"/>
                </w:tcPr>
                <w:p>
                  <w:pPr>
                    <w:snapToGrid w:val="0"/>
                    <w:jc w:val="center"/>
                    <w:rPr>
                      <w:rFonts w:ascii="Times New Roman" w:hAnsi="Times New Roman" w:cs="Times New Roman"/>
                      <w:sz w:val="21"/>
                      <w:szCs w:val="21"/>
                    </w:rPr>
                  </w:pPr>
                  <w:r>
                    <w:rPr>
                      <w:rFonts w:ascii="Times New Roman" w:hAnsi="Times New Roman" w:cs="Times New Roman"/>
                      <w:bCs/>
                      <w:sz w:val="21"/>
                      <w:szCs w:val="21"/>
                    </w:rPr>
                    <w:t>生产车间</w:t>
                  </w:r>
                </w:p>
              </w:tc>
              <w:tc>
                <w:tcPr>
                  <w:tcW w:w="606" w:type="pct"/>
                  <w:tcBorders>
                    <w:tl2br w:val="nil"/>
                    <w:tr2bl w:val="nil"/>
                  </w:tcBorders>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rPr>
                    <w:t>下料、焊接、打磨等</w:t>
                  </w:r>
                </w:p>
              </w:tc>
              <w:tc>
                <w:tcPr>
                  <w:tcW w:w="486" w:type="pct"/>
                  <w:tcBorders>
                    <w:tl2br w:val="nil"/>
                    <w:tr2bl w:val="nil"/>
                  </w:tcBorders>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rPr>
                    <w:t>颗粒物</w:t>
                  </w:r>
                </w:p>
              </w:tc>
              <w:tc>
                <w:tcPr>
                  <w:tcW w:w="595" w:type="pct"/>
                  <w:tcBorders>
                    <w:tl2br w:val="nil"/>
                    <w:tr2bl w:val="nil"/>
                  </w:tcBorders>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rPr>
                    <w:t>加强厂区封闭和管理减少废气扩散</w:t>
                  </w:r>
                </w:p>
              </w:tc>
              <w:tc>
                <w:tcPr>
                  <w:tcW w:w="1539" w:type="pct"/>
                  <w:tcBorders>
                    <w:tl2br w:val="nil"/>
                    <w:tr2bl w:val="nil"/>
                  </w:tcBorders>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rPr>
                    <w:t>《大气污染物综合排放标准》（GB16297-1996）表2</w:t>
                  </w:r>
                </w:p>
              </w:tc>
              <w:tc>
                <w:tcPr>
                  <w:tcW w:w="757" w:type="pct"/>
                  <w:tcBorders>
                    <w:tl2br w:val="nil"/>
                    <w:tr2bl w:val="nil"/>
                  </w:tcBorders>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571" w:type="pct"/>
                  <w:tcBorders>
                    <w:tl2br w:val="nil"/>
                    <w:tr2bl w:val="nil"/>
                  </w:tcBorders>
                  <w:vAlign w:val="center"/>
                </w:tcPr>
                <w:p>
                  <w:pPr>
                    <w:snapToGrid w:val="0"/>
                    <w:jc w:val="center"/>
                    <w:rPr>
                      <w:rFonts w:ascii="Times New Roman" w:hAnsi="Times New Roman" w:cs="Times New Roman"/>
                      <w:sz w:val="21"/>
                      <w:szCs w:val="21"/>
                    </w:rPr>
                  </w:pPr>
                  <w:r>
                    <w:rPr>
                      <w:rFonts w:ascii="Times New Roman" w:hAnsi="Times New Roman" w:cs="Times New Roman"/>
                      <w:sz w:val="21"/>
                      <w:szCs w:val="21"/>
                    </w:rPr>
                    <w:t>0.0</w:t>
                  </w:r>
                  <w:r>
                    <w:rPr>
                      <w:rFonts w:hint="eastAsia" w:ascii="Times New Roman" w:hAnsi="Times New Roman" w:cs="Times New Roman"/>
                      <w:sz w:val="21"/>
                      <w:szCs w:val="21"/>
                    </w:rPr>
                    <w:t>062</w:t>
                  </w:r>
                </w:p>
              </w:tc>
            </w:tr>
          </w:tbl>
          <w:p>
            <w:pPr>
              <w:pStyle w:val="3"/>
              <w:spacing w:before="190" w:beforeLines="50" w:after="0" w:afterLines="0"/>
              <w:rPr>
                <w:lang w:eastAsia="zh-CN"/>
              </w:rPr>
            </w:pPr>
            <w:r>
              <w:rPr>
                <w:rFonts w:hint="eastAsia"/>
                <w:lang w:eastAsia="zh-CN"/>
              </w:rPr>
              <w:t>2、地表水环境影响分析</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2.1</w:t>
            </w:r>
            <w:r>
              <w:rPr>
                <w:rFonts w:hint="eastAsia" w:ascii="Times New Roman" w:hAnsi="Times New Roman" w:cs="Times New Roman"/>
                <w:sz w:val="24"/>
              </w:rPr>
              <w:t xml:space="preserve"> </w:t>
            </w:r>
            <w:r>
              <w:rPr>
                <w:rFonts w:hint="eastAsia" w:ascii="Times New Roman" w:hAnsi="Times New Roman" w:cs="Times New Roman"/>
                <w:sz w:val="24"/>
                <w:szCs w:val="24"/>
              </w:rPr>
              <w:t>扩建项目废水产生情况</w:t>
            </w:r>
          </w:p>
          <w:p>
            <w:pPr>
              <w:adjustRightInd w:val="0"/>
              <w:snapToGrid w:val="0"/>
              <w:spacing w:line="360" w:lineRule="auto"/>
              <w:ind w:firstLine="480" w:firstLineChars="200"/>
              <w:jc w:val="left"/>
              <w:rPr>
                <w:rFonts w:ascii="Times New Roman" w:hAnsi="Times New Roman" w:cs="Times New Roman"/>
                <w:kern w:val="0"/>
                <w:sz w:val="24"/>
                <w:szCs w:val="24"/>
              </w:rPr>
            </w:pPr>
            <w:r>
              <w:rPr>
                <w:rFonts w:hint="eastAsia" w:ascii="Times New Roman" w:hAnsi="Times New Roman" w:cs="Times New Roman"/>
                <w:sz w:val="24"/>
                <w:szCs w:val="24"/>
              </w:rPr>
              <w:t>扩建</w:t>
            </w:r>
            <w:r>
              <w:rPr>
                <w:rFonts w:ascii="Times New Roman" w:hAnsi="Times New Roman" w:cs="Times New Roman"/>
                <w:sz w:val="24"/>
                <w:szCs w:val="24"/>
              </w:rPr>
              <w:t>项目排放的废水主要为生活污水，</w:t>
            </w:r>
            <w:r>
              <w:rPr>
                <w:rFonts w:ascii="Times New Roman" w:hAnsi="Times New Roman" w:cs="Times New Roman"/>
                <w:kern w:val="0"/>
                <w:sz w:val="24"/>
                <w:szCs w:val="24"/>
              </w:rPr>
              <w:t>项目员工</w:t>
            </w:r>
            <w:r>
              <w:rPr>
                <w:rFonts w:hint="eastAsia" w:ascii="Times New Roman" w:hAnsi="Times New Roman" w:cs="Times New Roman"/>
                <w:kern w:val="0"/>
                <w:sz w:val="24"/>
                <w:szCs w:val="24"/>
              </w:rPr>
              <w:t>30</w:t>
            </w:r>
            <w:r>
              <w:rPr>
                <w:rFonts w:ascii="Times New Roman" w:hAnsi="Times New Roman" w:cs="Times New Roman"/>
                <w:kern w:val="0"/>
                <w:sz w:val="24"/>
                <w:szCs w:val="24"/>
              </w:rPr>
              <w:t>人，用水定额为</w:t>
            </w:r>
            <w:r>
              <w:rPr>
                <w:rFonts w:hint="eastAsia" w:ascii="Times New Roman" w:hAnsi="Times New Roman" w:cs="Times New Roman"/>
                <w:kern w:val="0"/>
                <w:sz w:val="24"/>
                <w:szCs w:val="24"/>
              </w:rPr>
              <w:t>33.3</w:t>
            </w:r>
            <w:r>
              <w:rPr>
                <w:rFonts w:ascii="Times New Roman" w:hAnsi="Times New Roman" w:cs="Times New Roman"/>
                <w:kern w:val="0"/>
                <w:sz w:val="24"/>
                <w:szCs w:val="24"/>
              </w:rPr>
              <w:t>L/人</w:t>
            </w:r>
            <w:r>
              <w:rPr>
                <w:rFonts w:hint="eastAsia" w:ascii="Times New Roman" w:hAnsi="Times New Roman" w:cs="Times New Roman"/>
                <w:kern w:val="0"/>
                <w:sz w:val="24"/>
                <w:szCs w:val="24"/>
              </w:rPr>
              <w:t>·天</w:t>
            </w:r>
            <w:r>
              <w:rPr>
                <w:rFonts w:ascii="Times New Roman" w:hAnsi="Times New Roman" w:cs="Times New Roman"/>
                <w:kern w:val="0"/>
                <w:sz w:val="24"/>
                <w:szCs w:val="24"/>
              </w:rPr>
              <w:t>，则生活用水量为</w:t>
            </w:r>
            <w:r>
              <w:rPr>
                <w:rFonts w:hint="eastAsia" w:ascii="Times New Roman" w:hAnsi="Times New Roman" w:cs="Times New Roman"/>
                <w:kern w:val="0"/>
                <w:sz w:val="24"/>
                <w:szCs w:val="24"/>
              </w:rPr>
              <w:t>30</w:t>
            </w:r>
            <w:r>
              <w:rPr>
                <w:rFonts w:ascii="Times New Roman" w:hAnsi="Times New Roman" w:cs="Times New Roman"/>
                <w:kern w:val="0"/>
                <w:sz w:val="24"/>
                <w:szCs w:val="24"/>
              </w:rPr>
              <w:t>0 t/a，生活污水排放系数取0.8，则本项目废水排放总量为</w:t>
            </w:r>
            <w:r>
              <w:rPr>
                <w:rFonts w:hint="eastAsia" w:ascii="Times New Roman" w:hAnsi="Times New Roman" w:cs="Times New Roman"/>
                <w:kern w:val="0"/>
                <w:sz w:val="24"/>
                <w:szCs w:val="24"/>
              </w:rPr>
              <w:t>240</w:t>
            </w:r>
            <w:r>
              <w:rPr>
                <w:rFonts w:ascii="Times New Roman" w:hAnsi="Times New Roman" w:cs="Times New Roman"/>
                <w:kern w:val="0"/>
                <w:sz w:val="24"/>
                <w:szCs w:val="24"/>
              </w:rPr>
              <w:t xml:space="preserve"> t/a，生活污水经市政污水管网全部</w:t>
            </w:r>
            <w:r>
              <w:rPr>
                <w:rFonts w:hint="eastAsia" w:ascii="Times New Roman" w:hAnsi="Times New Roman" w:cs="Times New Roman"/>
                <w:kern w:val="0"/>
                <w:sz w:val="24"/>
                <w:szCs w:val="24"/>
              </w:rPr>
              <w:t>小店</w:t>
            </w:r>
            <w:r>
              <w:rPr>
                <w:rFonts w:ascii="Times New Roman" w:hAnsi="Times New Roman" w:cs="Times New Roman"/>
                <w:kern w:val="0"/>
                <w:sz w:val="24"/>
                <w:szCs w:val="24"/>
              </w:rPr>
              <w:t>处理厂</w:t>
            </w:r>
            <w:r>
              <w:rPr>
                <w:rFonts w:hint="eastAsia" w:ascii="Times New Roman" w:hAnsi="Times New Roman" w:cs="Times New Roman"/>
                <w:kern w:val="0"/>
                <w:sz w:val="24"/>
                <w:szCs w:val="24"/>
              </w:rPr>
              <w:t>二期</w:t>
            </w:r>
            <w:r>
              <w:rPr>
                <w:rFonts w:ascii="Times New Roman" w:hAnsi="Times New Roman" w:cs="Times New Roman"/>
                <w:kern w:val="0"/>
                <w:sz w:val="24"/>
                <w:szCs w:val="24"/>
              </w:rPr>
              <w:t>进行统一处理</w:t>
            </w:r>
            <w:r>
              <w:rPr>
                <w:rFonts w:hint="eastAsia" w:ascii="Times New Roman" w:hAnsi="Times New Roman" w:cs="Times New Roman"/>
                <w:kern w:val="0"/>
                <w:sz w:val="24"/>
                <w:szCs w:val="24"/>
              </w:rPr>
              <w:t>。</w:t>
            </w:r>
          </w:p>
          <w:p>
            <w:pPr>
              <w:pStyle w:val="27"/>
              <w:adjustRightInd w:val="0"/>
              <w:snapToGrid w:val="0"/>
              <w:spacing w:line="360" w:lineRule="auto"/>
              <w:ind w:firstLine="480"/>
              <w:rPr>
                <w:rFonts w:ascii="Times New Roman" w:hAnsi="Times New Roman" w:cs="Times New Roman"/>
                <w:kern w:val="0"/>
                <w:szCs w:val="24"/>
              </w:rPr>
            </w:pPr>
            <w:r>
              <w:rPr>
                <w:rFonts w:hint="eastAsia" w:ascii="Times New Roman" w:hAnsi="Times New Roman" w:cs="Times New Roman"/>
                <w:kern w:val="0"/>
                <w:szCs w:val="24"/>
              </w:rPr>
              <w:t>2.2 扩建项目废水排放情况</w:t>
            </w:r>
          </w:p>
          <w:p>
            <w:pPr>
              <w:adjustRightInd w:val="0"/>
              <w:snapToGrid w:val="0"/>
              <w:spacing w:line="360" w:lineRule="auto"/>
              <w:ind w:firstLine="480" w:firstLineChars="200"/>
              <w:jc w:val="left"/>
              <w:rPr>
                <w:rFonts w:ascii="Times New Roman" w:hAnsi="Times New Roman" w:cs="Times New Roman"/>
                <w:kern w:val="0"/>
                <w:sz w:val="24"/>
                <w:szCs w:val="24"/>
              </w:rPr>
            </w:pPr>
            <w:r>
              <w:rPr>
                <w:rFonts w:hint="eastAsia" w:ascii="Times New Roman" w:hAnsi="Times New Roman" w:cs="Times New Roman"/>
                <w:sz w:val="24"/>
                <w:szCs w:val="24"/>
              </w:rPr>
              <w:t>扩建项目废水排放量如表40。其中</w:t>
            </w:r>
            <w:r>
              <w:rPr>
                <w:rFonts w:ascii="Times New Roman" w:hAnsi="Times New Roman" w:cs="Times New Roman"/>
                <w:kern w:val="0"/>
                <w:sz w:val="24"/>
                <w:szCs w:val="24"/>
              </w:rPr>
              <w:t>入水水质依据类比调查资料获得。</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40</w:t>
            </w:r>
            <w:r>
              <w:rPr>
                <w:rFonts w:ascii="Times New Roman" w:hAnsi="Times New Roman" w:cs="Times New Roman"/>
                <w:b/>
                <w:bCs/>
                <w:sz w:val="22"/>
                <w:szCs w:val="22"/>
              </w:rPr>
              <w:fldChar w:fldCharType="end"/>
            </w:r>
            <w:r>
              <w:rPr>
                <w:rFonts w:hint="eastAsia" w:ascii="Times New Roman" w:hAnsi="Times New Roman" w:eastAsia="宋体" w:cs="Times New Roman"/>
                <w:b/>
                <w:bCs/>
                <w:sz w:val="22"/>
                <w:szCs w:val="22"/>
              </w:rPr>
              <w:t xml:space="preserve"> </w:t>
            </w:r>
            <w:r>
              <w:rPr>
                <w:rFonts w:hint="eastAsia" w:ascii="Times New Roman" w:hAnsi="Times New Roman" w:cs="Times New Roman"/>
                <w:b/>
                <w:bCs/>
                <w:sz w:val="22"/>
                <w:szCs w:val="22"/>
              </w:rPr>
              <w:t>扩建项目废水排放情况</w:t>
            </w:r>
            <w:r>
              <w:rPr>
                <w:rFonts w:ascii="Times New Roman" w:hAnsi="Times New Roman" w:cs="Times New Roman"/>
                <w:b/>
                <w:bCs/>
                <w:sz w:val="22"/>
                <w:szCs w:val="22"/>
              </w:rPr>
              <w:t>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48"/>
              <w:gridCol w:w="886"/>
              <w:gridCol w:w="922"/>
              <w:gridCol w:w="1104"/>
              <w:gridCol w:w="1250"/>
              <w:gridCol w:w="1178"/>
              <w:gridCol w:w="109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51"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扩建项目废水排放量</w:t>
                  </w:r>
                </w:p>
              </w:tc>
              <w:tc>
                <w:tcPr>
                  <w:tcW w:w="3748" w:type="pct"/>
                  <w:gridSpan w:val="6"/>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240 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51"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污染物</w:t>
                  </w:r>
                </w:p>
              </w:tc>
              <w:tc>
                <w:tcPr>
                  <w:tcW w:w="516"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单位</w:t>
                  </w:r>
                </w:p>
              </w:tc>
              <w:tc>
                <w:tcPr>
                  <w:tcW w:w="537"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pH</w:t>
                  </w:r>
                </w:p>
              </w:tc>
              <w:tc>
                <w:tcPr>
                  <w:tcW w:w="643"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SS</w:t>
                  </w:r>
                </w:p>
              </w:tc>
              <w:tc>
                <w:tcPr>
                  <w:tcW w:w="728"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COD</w:t>
                  </w:r>
                  <w:r>
                    <w:rPr>
                      <w:rFonts w:ascii="Times New Roman" w:hAnsi="Times New Roman" w:cs="Times New Roman"/>
                      <w:b/>
                      <w:bCs/>
                      <w:kern w:val="0"/>
                      <w:sz w:val="21"/>
                      <w:szCs w:val="21"/>
                      <w:vertAlign w:val="subscript"/>
                    </w:rPr>
                    <w:t>Cr</w:t>
                  </w:r>
                </w:p>
              </w:tc>
              <w:tc>
                <w:tcPr>
                  <w:tcW w:w="686"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hint="eastAsia" w:ascii="Times New Roman" w:hAnsi="Times New Roman" w:cs="Times New Roman"/>
                      <w:b/>
                      <w:bCs/>
                      <w:kern w:val="0"/>
                      <w:sz w:val="21"/>
                      <w:szCs w:val="21"/>
                    </w:rPr>
                    <w:t>TP</w:t>
                  </w:r>
                </w:p>
              </w:tc>
              <w:tc>
                <w:tcPr>
                  <w:tcW w:w="637" w:type="pct"/>
                  <w:tcBorders>
                    <w:tl2br w:val="nil"/>
                    <w:tr2bl w:val="nil"/>
                  </w:tcBorders>
                  <w:vAlign w:val="center"/>
                </w:tcPr>
                <w:p>
                  <w:pPr>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氨氮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51"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拟排放浓度</w:t>
                  </w:r>
                </w:p>
              </w:tc>
              <w:tc>
                <w:tcPr>
                  <w:tcW w:w="516"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mg/L</w:t>
                  </w:r>
                </w:p>
              </w:tc>
              <w:tc>
                <w:tcPr>
                  <w:tcW w:w="537"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6-9</w:t>
                  </w:r>
                </w:p>
              </w:tc>
              <w:tc>
                <w:tcPr>
                  <w:tcW w:w="643"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250</w:t>
                  </w:r>
                </w:p>
              </w:tc>
              <w:tc>
                <w:tcPr>
                  <w:tcW w:w="728"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300</w:t>
                  </w:r>
                </w:p>
              </w:tc>
              <w:tc>
                <w:tcPr>
                  <w:tcW w:w="686"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w:t>
                  </w:r>
                </w:p>
              </w:tc>
              <w:tc>
                <w:tcPr>
                  <w:tcW w:w="637"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51"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拟</w:t>
                  </w:r>
                  <w:r>
                    <w:rPr>
                      <w:rFonts w:ascii="Times New Roman" w:hAnsi="Times New Roman" w:cs="Times New Roman"/>
                      <w:kern w:val="0"/>
                      <w:sz w:val="21"/>
                      <w:szCs w:val="21"/>
                    </w:rPr>
                    <w:t>排放量</w:t>
                  </w:r>
                </w:p>
              </w:tc>
              <w:tc>
                <w:tcPr>
                  <w:tcW w:w="516"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t/a</w:t>
                  </w:r>
                </w:p>
              </w:tc>
              <w:tc>
                <w:tcPr>
                  <w:tcW w:w="537"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ascii="Times New Roman" w:hAnsi="Times New Roman" w:cs="Times New Roman"/>
                      <w:sz w:val="21"/>
                      <w:szCs w:val="21"/>
                    </w:rPr>
                    <w:t>—</w:t>
                  </w:r>
                </w:p>
              </w:tc>
              <w:tc>
                <w:tcPr>
                  <w:tcW w:w="643"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0.06</w:t>
                  </w:r>
                </w:p>
              </w:tc>
              <w:tc>
                <w:tcPr>
                  <w:tcW w:w="728"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0.072</w:t>
                  </w:r>
                </w:p>
              </w:tc>
              <w:tc>
                <w:tcPr>
                  <w:tcW w:w="686"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0.00048</w:t>
                  </w:r>
                </w:p>
              </w:tc>
              <w:tc>
                <w:tcPr>
                  <w:tcW w:w="637" w:type="pct"/>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0.006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51"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小店污水处理厂</w:t>
                  </w:r>
                </w:p>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二期入水标准</w:t>
                  </w:r>
                </w:p>
              </w:tc>
              <w:tc>
                <w:tcPr>
                  <w:tcW w:w="516"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mg/L</w:t>
                  </w:r>
                </w:p>
              </w:tc>
              <w:tc>
                <w:tcPr>
                  <w:tcW w:w="537" w:type="pct"/>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kern w:val="0"/>
                      <w:sz w:val="21"/>
                      <w:szCs w:val="21"/>
                    </w:rPr>
                    <w:t>6-9</w:t>
                  </w:r>
                </w:p>
              </w:tc>
              <w:tc>
                <w:tcPr>
                  <w:tcW w:w="643"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280</w:t>
                  </w:r>
                </w:p>
              </w:tc>
              <w:tc>
                <w:tcPr>
                  <w:tcW w:w="728"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350</w:t>
                  </w:r>
                </w:p>
              </w:tc>
              <w:tc>
                <w:tcPr>
                  <w:tcW w:w="686"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3</w:t>
                  </w:r>
                </w:p>
              </w:tc>
              <w:tc>
                <w:tcPr>
                  <w:tcW w:w="637"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30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51"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小店污水处理厂</w:t>
                  </w:r>
                </w:p>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二期出水标准</w:t>
                  </w:r>
                </w:p>
              </w:tc>
              <w:tc>
                <w:tcPr>
                  <w:tcW w:w="516"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mg/L</w:t>
                  </w:r>
                </w:p>
              </w:tc>
              <w:tc>
                <w:tcPr>
                  <w:tcW w:w="537" w:type="pct"/>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6-9</w:t>
                  </w:r>
                </w:p>
              </w:tc>
              <w:tc>
                <w:tcPr>
                  <w:tcW w:w="643"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10</w:t>
                  </w:r>
                </w:p>
              </w:tc>
              <w:tc>
                <w:tcPr>
                  <w:tcW w:w="728"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40</w:t>
                  </w:r>
                </w:p>
              </w:tc>
              <w:tc>
                <w:tcPr>
                  <w:tcW w:w="686"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0.4</w:t>
                  </w:r>
                </w:p>
              </w:tc>
              <w:tc>
                <w:tcPr>
                  <w:tcW w:w="637"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51"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经处理厂处理后</w:t>
                  </w:r>
                </w:p>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废水排放量</w:t>
                  </w:r>
                </w:p>
              </w:tc>
              <w:tc>
                <w:tcPr>
                  <w:tcW w:w="516"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t/a</w:t>
                  </w:r>
                </w:p>
              </w:tc>
              <w:tc>
                <w:tcPr>
                  <w:tcW w:w="537" w:type="pct"/>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ascii="Times New Roman" w:hAnsi="Times New Roman" w:cs="Times New Roman"/>
                      <w:sz w:val="21"/>
                      <w:szCs w:val="21"/>
                    </w:rPr>
                    <w:t>—</w:t>
                  </w:r>
                </w:p>
              </w:tc>
              <w:tc>
                <w:tcPr>
                  <w:tcW w:w="643"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0.0024</w:t>
                  </w:r>
                </w:p>
              </w:tc>
              <w:tc>
                <w:tcPr>
                  <w:tcW w:w="728"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0.0096</w:t>
                  </w:r>
                </w:p>
              </w:tc>
              <w:tc>
                <w:tcPr>
                  <w:tcW w:w="686"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0.000096</w:t>
                  </w:r>
                </w:p>
              </w:tc>
              <w:tc>
                <w:tcPr>
                  <w:tcW w:w="637" w:type="pct"/>
                  <w:tcBorders>
                    <w:tl2br w:val="nil"/>
                    <w:tr2bl w:val="nil"/>
                  </w:tcBorders>
                  <w:vAlign w:val="center"/>
                </w:tcPr>
                <w:p>
                  <w:pPr>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0.00048</w:t>
                  </w:r>
                </w:p>
              </w:tc>
            </w:tr>
          </w:tbl>
          <w:p>
            <w:pPr>
              <w:adjustRightInd w:val="0"/>
              <w:snapToGrid w:val="0"/>
              <w:spacing w:before="190" w:beforeLines="50" w:line="360" w:lineRule="auto"/>
              <w:ind w:firstLine="480" w:firstLineChars="200"/>
              <w:rPr>
                <w:rFonts w:ascii="Times New Roman" w:hAnsi="Times New Roman" w:cs="Times New Roman"/>
                <w:sz w:val="24"/>
              </w:rPr>
            </w:pPr>
            <w:r>
              <w:rPr>
                <w:rFonts w:ascii="Times New Roman" w:hAnsi="Times New Roman" w:cs="Times New Roman"/>
                <w:kern w:val="0"/>
                <w:sz w:val="24"/>
                <w:szCs w:val="24"/>
              </w:rPr>
              <w:t>根据计算，</w:t>
            </w:r>
            <w:r>
              <w:rPr>
                <w:rFonts w:ascii="Times New Roman" w:hAnsi="Times New Roman" w:cs="Times New Roman"/>
                <w:sz w:val="24"/>
                <w:szCs w:val="24"/>
              </w:rPr>
              <w:t>项目废水经污水处理厂处理后最终污染物排放量为</w:t>
            </w:r>
            <w:r>
              <w:rPr>
                <w:rFonts w:hint="eastAsia" w:ascii="Times New Roman" w:hAnsi="Times New Roman" w:cs="Times New Roman"/>
                <w:kern w:val="0"/>
                <w:sz w:val="24"/>
                <w:szCs w:val="24"/>
              </w:rPr>
              <w:t>SS</w:t>
            </w:r>
            <w:r>
              <w:rPr>
                <w:rFonts w:ascii="Times New Roman" w:hAnsi="Times New Roman" w:cs="Times New Roman"/>
                <w:sz w:val="24"/>
                <w:szCs w:val="24"/>
              </w:rPr>
              <w:t>0.00</w:t>
            </w:r>
            <w:r>
              <w:rPr>
                <w:rFonts w:hint="eastAsia" w:ascii="Times New Roman" w:hAnsi="Times New Roman" w:cs="Times New Roman"/>
                <w:sz w:val="24"/>
                <w:szCs w:val="24"/>
              </w:rPr>
              <w:t xml:space="preserve">24 </w:t>
            </w:r>
            <w:r>
              <w:rPr>
                <w:rFonts w:ascii="Times New Roman" w:hAnsi="Times New Roman" w:cs="Times New Roman"/>
                <w:sz w:val="24"/>
                <w:szCs w:val="24"/>
              </w:rPr>
              <w:t>t/a</w:t>
            </w:r>
            <w:r>
              <w:rPr>
                <w:rFonts w:hint="eastAsia" w:ascii="Times New Roman" w:hAnsi="Times New Roman" w:cs="Times New Roman"/>
                <w:sz w:val="24"/>
                <w:szCs w:val="24"/>
              </w:rPr>
              <w:t>、</w:t>
            </w:r>
            <w:r>
              <w:rPr>
                <w:rFonts w:ascii="Times New Roman" w:hAnsi="Times New Roman" w:cs="Times New Roman"/>
                <w:sz w:val="24"/>
                <w:szCs w:val="24"/>
              </w:rPr>
              <w:t>COD0.0</w:t>
            </w:r>
            <w:r>
              <w:rPr>
                <w:rFonts w:hint="eastAsia" w:ascii="Times New Roman" w:hAnsi="Times New Roman" w:cs="Times New Roman"/>
                <w:sz w:val="24"/>
                <w:szCs w:val="24"/>
              </w:rPr>
              <w:t>096</w:t>
            </w:r>
            <w:r>
              <w:rPr>
                <w:rFonts w:ascii="Times New Roman" w:hAnsi="Times New Roman" w:cs="Times New Roman"/>
                <w:sz w:val="24"/>
                <w:szCs w:val="24"/>
              </w:rPr>
              <w:t>t/a、</w:t>
            </w:r>
            <w:r>
              <w:rPr>
                <w:rFonts w:hint="eastAsia" w:ascii="Times New Roman" w:hAnsi="Times New Roman" w:cs="Times New Roman"/>
                <w:kern w:val="0"/>
                <w:sz w:val="24"/>
                <w:szCs w:val="24"/>
              </w:rPr>
              <w:t>TP</w:t>
            </w:r>
            <w:r>
              <w:rPr>
                <w:rFonts w:ascii="Times New Roman" w:hAnsi="Times New Roman" w:cs="Times New Roman"/>
                <w:sz w:val="24"/>
                <w:szCs w:val="24"/>
              </w:rPr>
              <w:t>0.00</w:t>
            </w:r>
            <w:r>
              <w:rPr>
                <w:rFonts w:hint="eastAsia" w:ascii="Times New Roman" w:hAnsi="Times New Roman" w:cs="Times New Roman"/>
                <w:sz w:val="24"/>
                <w:szCs w:val="24"/>
              </w:rPr>
              <w:t>0096</w:t>
            </w:r>
            <w:r>
              <w:rPr>
                <w:rFonts w:ascii="Times New Roman" w:hAnsi="Times New Roman" w:cs="Times New Roman"/>
                <w:sz w:val="24"/>
                <w:szCs w:val="24"/>
              </w:rPr>
              <w:t>t/a</w:t>
            </w:r>
            <w:r>
              <w:rPr>
                <w:rFonts w:hint="eastAsia" w:ascii="Times New Roman" w:hAnsi="Times New Roman" w:cs="Times New Roman"/>
                <w:sz w:val="24"/>
                <w:szCs w:val="24"/>
              </w:rPr>
              <w:t>、氨氮</w:t>
            </w:r>
            <w:r>
              <w:rPr>
                <w:rFonts w:ascii="Times New Roman" w:hAnsi="Times New Roman" w:cs="Times New Roman"/>
                <w:sz w:val="24"/>
                <w:szCs w:val="24"/>
              </w:rPr>
              <w:t>0.00</w:t>
            </w:r>
            <w:r>
              <w:rPr>
                <w:rFonts w:hint="eastAsia" w:ascii="Times New Roman" w:hAnsi="Times New Roman" w:cs="Times New Roman"/>
                <w:sz w:val="24"/>
                <w:szCs w:val="24"/>
              </w:rPr>
              <w:t>048</w:t>
            </w:r>
            <w:r>
              <w:rPr>
                <w:rFonts w:ascii="Times New Roman" w:hAnsi="Times New Roman" w:cs="Times New Roman"/>
                <w:sz w:val="24"/>
                <w:szCs w:val="24"/>
              </w:rPr>
              <w:t>t/a</w:t>
            </w:r>
            <w:r>
              <w:rPr>
                <w:rFonts w:hint="eastAsia" w:ascii="Times New Roman" w:hAnsi="Times New Roman" w:cs="Times New Roman"/>
                <w:sz w:val="24"/>
                <w:szCs w:val="24"/>
              </w:rPr>
              <w:t>。</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2.3评价等级及范围</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本项目废水主要为生活污水，</w:t>
            </w:r>
            <w:r>
              <w:rPr>
                <w:rFonts w:ascii="Times New Roman" w:hAnsi="Times New Roman" w:cs="Times New Roman"/>
                <w:sz w:val="24"/>
              </w:rPr>
              <w:t>生活污水经市政污水管网全部</w:t>
            </w:r>
            <w:r>
              <w:rPr>
                <w:rFonts w:hint="eastAsia" w:ascii="Times New Roman" w:hAnsi="Times New Roman" w:cs="Times New Roman"/>
                <w:sz w:val="24"/>
              </w:rPr>
              <w:t>小店</w:t>
            </w:r>
            <w:r>
              <w:rPr>
                <w:rFonts w:ascii="Times New Roman" w:hAnsi="Times New Roman" w:cs="Times New Roman"/>
                <w:sz w:val="24"/>
              </w:rPr>
              <w:t>处理厂</w:t>
            </w:r>
            <w:r>
              <w:rPr>
                <w:rFonts w:hint="eastAsia" w:ascii="Times New Roman" w:hAnsi="Times New Roman" w:cs="Times New Roman"/>
                <w:bCs/>
                <w:sz w:val="24"/>
              </w:rPr>
              <w:t>二期</w:t>
            </w:r>
            <w:r>
              <w:rPr>
                <w:rFonts w:ascii="Times New Roman" w:hAnsi="Times New Roman" w:cs="Times New Roman"/>
                <w:sz w:val="24"/>
              </w:rPr>
              <w:t>进行统一处理</w:t>
            </w:r>
            <w:r>
              <w:rPr>
                <w:rFonts w:hint="eastAsia" w:ascii="Times New Roman" w:hAnsi="Times New Roman" w:cs="Times New Roman"/>
                <w:sz w:val="24"/>
              </w:rPr>
              <w:t>。根据《环境影响评价技术导则 地表水环境》（HJ2.3-1018）表1，本项目评价等级的判定见表41。</w:t>
            </w:r>
          </w:p>
          <w:p>
            <w:pPr>
              <w:pStyle w:val="10"/>
              <w:adjustRightInd w:val="0"/>
              <w:snapToGrid w:val="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w:t>
            </w:r>
            <w:r>
              <w:rPr>
                <w:rFonts w:hint="eastAsia" w:ascii="Times New Roman" w:hAnsi="Times New Roman" w:eastAsia="宋体" w:cs="Times New Roman"/>
                <w:b/>
                <w:bCs/>
                <w:sz w:val="22"/>
                <w:szCs w:val="22"/>
              </w:rPr>
              <w:t>1</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hint="eastAsia" w:ascii="Times New Roman" w:hAnsi="Times New Roman" w:eastAsia="宋体" w:cs="Times New Roman"/>
                <w:b/>
                <w:bCs/>
                <w:sz w:val="22"/>
                <w:szCs w:val="22"/>
              </w:rPr>
              <w:t>地表水评价工作等级判别表</w:t>
            </w:r>
          </w:p>
          <w:tbl>
            <w:tblPr>
              <w:tblStyle w:val="29"/>
              <w:tblW w:w="85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62"/>
              <w:gridCol w:w="1612"/>
              <w:gridCol w:w="41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862" w:type="dxa"/>
                  <w:vMerge w:val="restart"/>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评价等级</w:t>
                  </w:r>
                </w:p>
              </w:tc>
              <w:tc>
                <w:tcPr>
                  <w:tcW w:w="5724" w:type="dxa"/>
                  <w:gridSpan w:val="2"/>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62" w:type="dxa"/>
                  <w:vMerge w:val="continue"/>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p>
              </w:tc>
              <w:tc>
                <w:tcPr>
                  <w:tcW w:w="1612" w:type="dxa"/>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排放方式</w:t>
                  </w:r>
                </w:p>
              </w:tc>
              <w:tc>
                <w:tcPr>
                  <w:tcW w:w="4112" w:type="dxa"/>
                  <w:tcBorders>
                    <w:tl2br w:val="nil"/>
                    <w:tr2bl w:val="nil"/>
                  </w:tcBorders>
                  <w:vAlign w:val="center"/>
                </w:tcPr>
                <w:p>
                  <w:pPr>
                    <w:adjustRightInd w:val="0"/>
                    <w:snapToGrid w:val="0"/>
                    <w:spacing w:line="288" w:lineRule="auto"/>
                    <w:jc w:val="center"/>
                    <w:rPr>
                      <w:rFonts w:ascii="Times New Roman" w:hAnsi="Times New Roman" w:cs="Times New Roman"/>
                      <w:b/>
                      <w:bCs/>
                      <w:sz w:val="21"/>
                      <w:szCs w:val="21"/>
                    </w:rPr>
                  </w:pPr>
                  <w:r>
                    <w:rPr>
                      <w:rFonts w:hint="eastAsia" w:ascii="Times New Roman" w:hAnsi="Times New Roman" w:cs="Times New Roman"/>
                      <w:b/>
                      <w:bCs/>
                      <w:sz w:val="21"/>
                      <w:szCs w:val="21"/>
                    </w:rPr>
                    <w:t>废水排放量Q/(m3/d);水污染物当量数W/（无量纲）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6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一级</w:t>
                  </w:r>
                </w:p>
              </w:tc>
              <w:tc>
                <w:tcPr>
                  <w:tcW w:w="161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直接排放</w:t>
                  </w:r>
                </w:p>
              </w:tc>
              <w:tc>
                <w:tcPr>
                  <w:tcW w:w="411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Q≥20000或W≥600000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6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二级</w:t>
                  </w:r>
                </w:p>
              </w:tc>
              <w:tc>
                <w:tcPr>
                  <w:tcW w:w="161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直接排放</w:t>
                  </w:r>
                </w:p>
              </w:tc>
              <w:tc>
                <w:tcPr>
                  <w:tcW w:w="411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86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三级A</w:t>
                  </w:r>
                </w:p>
              </w:tc>
              <w:tc>
                <w:tcPr>
                  <w:tcW w:w="161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直接排放</w:t>
                  </w:r>
                </w:p>
              </w:tc>
              <w:tc>
                <w:tcPr>
                  <w:tcW w:w="411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Q＜200或W＜6000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6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三级B</w:t>
                  </w:r>
                </w:p>
              </w:tc>
              <w:tc>
                <w:tcPr>
                  <w:tcW w:w="161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间接排放</w:t>
                  </w:r>
                </w:p>
              </w:tc>
              <w:tc>
                <w:tcPr>
                  <w:tcW w:w="4112" w:type="dxa"/>
                  <w:tcBorders>
                    <w:tl2br w:val="nil"/>
                    <w:tr2bl w:val="nil"/>
                  </w:tcBorders>
                  <w:vAlign w:val="center"/>
                </w:tcPr>
                <w:p>
                  <w:pPr>
                    <w:adjustRightInd w:val="0"/>
                    <w:snapToGrid w:val="0"/>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w:t>
                  </w:r>
                </w:p>
              </w:tc>
            </w:tr>
          </w:tbl>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本项目地表水评价分级判定结果见表42</w:t>
            </w:r>
          </w:p>
          <w:p>
            <w:pPr>
              <w:pStyle w:val="10"/>
              <w:adjustRightInd w:val="0"/>
              <w:snapToGrid w:val="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w:t>
            </w:r>
            <w:r>
              <w:rPr>
                <w:rFonts w:hint="eastAsia" w:ascii="Times New Roman" w:hAnsi="Times New Roman" w:eastAsia="宋体" w:cs="Times New Roman"/>
                <w:b/>
                <w:bCs/>
                <w:sz w:val="22"/>
                <w:szCs w:val="22"/>
              </w:rPr>
              <w:t>2</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hint="eastAsia" w:ascii="Times New Roman" w:hAnsi="Times New Roman" w:eastAsia="宋体" w:cs="Times New Roman"/>
                <w:b/>
                <w:bCs/>
                <w:sz w:val="22"/>
                <w:szCs w:val="22"/>
              </w:rPr>
              <w:t>地表水评价工作等级判定结果</w:t>
            </w:r>
          </w:p>
          <w:tbl>
            <w:tblPr>
              <w:tblStyle w:val="28"/>
              <w:tblW w:w="48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2577"/>
              <w:gridCol w:w="2854"/>
              <w:gridCol w:w="15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848" w:type="pct"/>
                  <w:tcBorders>
                    <w:tl2br w:val="nil"/>
                    <w:tr2bl w:val="nil"/>
                  </w:tcBorders>
                  <w:vAlign w:val="center"/>
                </w:tcPr>
                <w:p>
                  <w:pPr>
                    <w:pStyle w:val="96"/>
                    <w:adjustRightInd w:val="0"/>
                    <w:snapToGrid w:val="0"/>
                    <w:spacing w:line="288" w:lineRule="auto"/>
                    <w:rPr>
                      <w:szCs w:val="21"/>
                    </w:rPr>
                  </w:pPr>
                  <w:r>
                    <w:rPr>
                      <w:rFonts w:hint="eastAsia"/>
                      <w:szCs w:val="21"/>
                    </w:rPr>
                    <w:t>评价内容</w:t>
                  </w:r>
                </w:p>
              </w:tc>
              <w:tc>
                <w:tcPr>
                  <w:tcW w:w="1540" w:type="pct"/>
                  <w:tcBorders>
                    <w:tl2br w:val="nil"/>
                    <w:tr2bl w:val="nil"/>
                  </w:tcBorders>
                  <w:vAlign w:val="center"/>
                </w:tcPr>
                <w:p>
                  <w:pPr>
                    <w:pStyle w:val="96"/>
                    <w:adjustRightInd w:val="0"/>
                    <w:snapToGrid w:val="0"/>
                    <w:spacing w:line="288" w:lineRule="auto"/>
                    <w:rPr>
                      <w:szCs w:val="21"/>
                    </w:rPr>
                  </w:pPr>
                  <w:r>
                    <w:rPr>
                      <w:rFonts w:hint="eastAsia"/>
                      <w:szCs w:val="21"/>
                    </w:rPr>
                    <w:t>判定依据</w:t>
                  </w:r>
                </w:p>
              </w:tc>
              <w:tc>
                <w:tcPr>
                  <w:tcW w:w="1706" w:type="pct"/>
                  <w:tcBorders>
                    <w:tl2br w:val="nil"/>
                    <w:tr2bl w:val="nil"/>
                  </w:tcBorders>
                  <w:vAlign w:val="center"/>
                </w:tcPr>
                <w:p>
                  <w:pPr>
                    <w:pStyle w:val="96"/>
                    <w:adjustRightInd w:val="0"/>
                    <w:snapToGrid w:val="0"/>
                    <w:spacing w:line="288" w:lineRule="auto"/>
                    <w:rPr>
                      <w:szCs w:val="21"/>
                    </w:rPr>
                  </w:pPr>
                  <w:r>
                    <w:rPr>
                      <w:rFonts w:hint="eastAsia"/>
                      <w:szCs w:val="21"/>
                    </w:rPr>
                    <w:t>判定指标</w:t>
                  </w:r>
                </w:p>
              </w:tc>
              <w:tc>
                <w:tcPr>
                  <w:tcW w:w="906" w:type="pct"/>
                  <w:tcBorders>
                    <w:tl2br w:val="nil"/>
                    <w:tr2bl w:val="nil"/>
                  </w:tcBorders>
                  <w:vAlign w:val="center"/>
                </w:tcPr>
                <w:p>
                  <w:pPr>
                    <w:pStyle w:val="96"/>
                    <w:adjustRightInd w:val="0"/>
                    <w:snapToGrid w:val="0"/>
                    <w:spacing w:line="288" w:lineRule="auto"/>
                    <w:rPr>
                      <w:szCs w:val="21"/>
                    </w:rPr>
                  </w:pPr>
                  <w:r>
                    <w:rPr>
                      <w:rFonts w:hint="eastAsia"/>
                      <w:szCs w:val="21"/>
                    </w:rPr>
                    <w:t>判定结果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848" w:type="pct"/>
                  <w:tcBorders>
                    <w:tl2br w:val="nil"/>
                    <w:tr2bl w:val="nil"/>
                  </w:tcBorders>
                  <w:vAlign w:val="center"/>
                </w:tcPr>
                <w:p>
                  <w:pPr>
                    <w:pStyle w:val="97"/>
                    <w:adjustRightInd w:val="0"/>
                    <w:snapToGrid w:val="0"/>
                    <w:spacing w:line="288" w:lineRule="auto"/>
                    <w:rPr>
                      <w:bCs/>
                    </w:rPr>
                  </w:pPr>
                  <w:r>
                    <w:rPr>
                      <w:rFonts w:hint="eastAsia"/>
                      <w:bCs/>
                    </w:rPr>
                    <w:t>地表水</w:t>
                  </w:r>
                </w:p>
              </w:tc>
              <w:tc>
                <w:tcPr>
                  <w:tcW w:w="1540" w:type="pct"/>
                  <w:tcBorders>
                    <w:tl2br w:val="nil"/>
                    <w:tr2bl w:val="nil"/>
                  </w:tcBorders>
                  <w:vAlign w:val="center"/>
                </w:tcPr>
                <w:p>
                  <w:pPr>
                    <w:pStyle w:val="97"/>
                    <w:adjustRightInd w:val="0"/>
                    <w:snapToGrid w:val="0"/>
                    <w:spacing w:line="288" w:lineRule="auto"/>
                    <w:rPr>
                      <w:bCs/>
                    </w:rPr>
                  </w:pPr>
                  <w:r>
                    <w:rPr>
                      <w:rFonts w:hint="eastAsia"/>
                      <w:bCs/>
                    </w:rPr>
                    <w:t>排放方式</w:t>
                  </w:r>
                </w:p>
              </w:tc>
              <w:tc>
                <w:tcPr>
                  <w:tcW w:w="1706" w:type="pct"/>
                  <w:tcBorders>
                    <w:tl2br w:val="nil"/>
                    <w:tr2bl w:val="nil"/>
                  </w:tcBorders>
                  <w:vAlign w:val="center"/>
                </w:tcPr>
                <w:p>
                  <w:pPr>
                    <w:pStyle w:val="97"/>
                    <w:adjustRightInd w:val="0"/>
                    <w:snapToGrid w:val="0"/>
                    <w:spacing w:line="288" w:lineRule="auto"/>
                    <w:rPr>
                      <w:bCs/>
                    </w:rPr>
                  </w:pPr>
                  <w:r>
                    <w:rPr>
                      <w:rFonts w:hint="eastAsia"/>
                      <w:bCs/>
                    </w:rPr>
                    <w:t>间接排放</w:t>
                  </w:r>
                </w:p>
              </w:tc>
              <w:tc>
                <w:tcPr>
                  <w:tcW w:w="906" w:type="pct"/>
                  <w:tcBorders>
                    <w:tl2br w:val="nil"/>
                    <w:tr2bl w:val="nil"/>
                  </w:tcBorders>
                  <w:vAlign w:val="center"/>
                </w:tcPr>
                <w:p>
                  <w:pPr>
                    <w:pStyle w:val="97"/>
                    <w:adjustRightInd w:val="0"/>
                    <w:snapToGrid w:val="0"/>
                    <w:spacing w:line="288" w:lineRule="auto"/>
                    <w:rPr>
                      <w:bCs/>
                    </w:rPr>
                  </w:pPr>
                  <w:r>
                    <w:rPr>
                      <w:rFonts w:hint="eastAsia"/>
                      <w:bCs/>
                    </w:rPr>
                    <w:t>三级</w:t>
                  </w:r>
                  <w:r>
                    <w:rPr>
                      <w:bCs/>
                    </w:rPr>
                    <w:t>B</w:t>
                  </w:r>
                </w:p>
              </w:tc>
            </w:tr>
          </w:tbl>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szCs w:val="24"/>
              </w:rPr>
              <w:t>根据导则要求，</w:t>
            </w:r>
            <w:r>
              <w:rPr>
                <w:rFonts w:ascii="Times New Roman" w:hAnsi="Times New Roman" w:cs="Times New Roman"/>
                <w:sz w:val="24"/>
              </w:rPr>
              <w:t>三级B评价项目仅需对水污染控制和水环境影响减缓措施有效性评价和依托污水处理设施的环境可行性评价。</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2.4污水接管可行性分析</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小店污水处理厂</w:t>
            </w:r>
            <w:r>
              <w:rPr>
                <w:rFonts w:hint="eastAsia" w:ascii="Times New Roman" w:hAnsi="Times New Roman" w:cs="Times New Roman"/>
                <w:bCs/>
                <w:sz w:val="24"/>
                <w:szCs w:val="24"/>
              </w:rPr>
              <w:t>二期</w:t>
            </w:r>
            <w:r>
              <w:rPr>
                <w:rFonts w:ascii="Times New Roman" w:hAnsi="Times New Roman" w:cs="Times New Roman"/>
                <w:sz w:val="24"/>
                <w:szCs w:val="24"/>
              </w:rPr>
              <w:t>处理能力为5万m</w:t>
            </w:r>
            <w:r>
              <w:rPr>
                <w:rFonts w:ascii="Times New Roman" w:hAnsi="Times New Roman" w:cs="Times New Roman"/>
                <w:sz w:val="24"/>
                <w:szCs w:val="24"/>
                <w:vertAlign w:val="superscript"/>
              </w:rPr>
              <w:t>3</w:t>
            </w:r>
            <w:r>
              <w:rPr>
                <w:rFonts w:ascii="Times New Roman" w:hAnsi="Times New Roman" w:cs="Times New Roman"/>
                <w:sz w:val="24"/>
                <w:szCs w:val="24"/>
              </w:rPr>
              <w:t>/d，治理工艺为：沉砂池+水解酸化+A</w:t>
            </w:r>
            <w:r>
              <w:rPr>
                <w:rFonts w:ascii="Times New Roman" w:hAnsi="Times New Roman" w:cs="Times New Roman"/>
                <w:sz w:val="24"/>
                <w:szCs w:val="24"/>
                <w:vertAlign w:val="superscript"/>
              </w:rPr>
              <w:t>2</w:t>
            </w:r>
            <w:r>
              <w:rPr>
                <w:rFonts w:ascii="Times New Roman" w:hAnsi="Times New Roman" w:cs="Times New Roman"/>
                <w:sz w:val="24"/>
                <w:szCs w:val="24"/>
              </w:rPr>
              <w:t>O-MBR膜+次氯酸钠消毒池。设计出水水质为（COD40mg/L、</w:t>
            </w:r>
            <w:r>
              <w:rPr>
                <w:rFonts w:hint="eastAsia" w:ascii="Times New Roman" w:hAnsi="Times New Roman" w:cs="Times New Roman"/>
                <w:sz w:val="24"/>
                <w:szCs w:val="24"/>
              </w:rPr>
              <w:t>TP 0.4</w:t>
            </w:r>
            <w:r>
              <w:rPr>
                <w:rFonts w:ascii="Times New Roman" w:hAnsi="Times New Roman" w:cs="Times New Roman"/>
                <w:sz w:val="24"/>
                <w:szCs w:val="24"/>
              </w:rPr>
              <w:t>mg/L、氨氮2mg/L、SS10mg/L）能够满足《城镇污水处理厂污染物排放标准》（GB18918-2002）一级A标准。</w:t>
            </w:r>
          </w:p>
          <w:p>
            <w:pPr>
              <w:pStyle w:val="4"/>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（1）水量及收水管网条件</w:t>
            </w:r>
          </w:p>
          <w:p>
            <w:pPr>
              <w:pStyle w:val="4"/>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① </w:t>
            </w:r>
            <w:r>
              <w:rPr>
                <w:rFonts w:ascii="Times New Roman" w:hAnsi="Times New Roman" w:cs="Times New Roman"/>
                <w:sz w:val="24"/>
              </w:rPr>
              <w:t>小店污水处理厂位于新长北线以北、东三干渠以西，紧邻规划区西边界，设计处理规模为10万m³/d，分两期建设。一期5万m</w:t>
            </w:r>
            <w:r>
              <w:rPr>
                <w:rFonts w:ascii="Times New Roman" w:hAnsi="Times New Roman" w:cs="Times New Roman"/>
                <w:sz w:val="24"/>
                <w:vertAlign w:val="superscript"/>
              </w:rPr>
              <w:t>3</w:t>
            </w:r>
            <w:r>
              <w:rPr>
                <w:rFonts w:ascii="Times New Roman" w:hAnsi="Times New Roman" w:cs="Times New Roman"/>
                <w:sz w:val="24"/>
              </w:rPr>
              <w:t>/d目前已运行多年，目前接近满负荷运营，</w:t>
            </w:r>
            <w:r>
              <w:rPr>
                <w:rFonts w:hint="eastAsia" w:ascii="Times New Roman" w:hAnsi="Times New Roman" w:cs="Times New Roman"/>
                <w:sz w:val="24"/>
              </w:rPr>
              <w:t>二期</w:t>
            </w:r>
            <w:r>
              <w:rPr>
                <w:rFonts w:ascii="Times New Roman" w:hAnsi="Times New Roman" w:cs="Times New Roman"/>
                <w:sz w:val="24"/>
              </w:rPr>
              <w:t>工程已于2018年1月开始调试运行。小店污水处理厂的收水范围为小店新城生活污水、新乡市经济技术开发区的工业和生活污水，本项目属于小店污水处理厂的收水范围。现有项目生活污水目前已接管排入。</w:t>
            </w:r>
          </w:p>
          <w:p>
            <w:pPr>
              <w:pStyle w:val="4"/>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本项目废水经厂区污水处理系统处理后排入小店污水处理厂二期进一步处理，处理后排入大沙河。小店污水处理厂二期处</w:t>
            </w:r>
            <w:r>
              <w:rPr>
                <w:rFonts w:ascii="Times New Roman" w:hAnsi="Times New Roman" w:cs="Times New Roman"/>
                <w:sz w:val="24"/>
                <w:szCs w:val="24"/>
              </w:rPr>
              <w:t>理能力为5万m</w:t>
            </w:r>
            <w:r>
              <w:rPr>
                <w:rFonts w:ascii="Times New Roman" w:hAnsi="Times New Roman" w:cs="Times New Roman"/>
                <w:sz w:val="24"/>
                <w:szCs w:val="24"/>
                <w:vertAlign w:val="superscript"/>
              </w:rPr>
              <w:t>3</w:t>
            </w:r>
            <w:r>
              <w:rPr>
                <w:rFonts w:ascii="Times New Roman" w:hAnsi="Times New Roman" w:cs="Times New Roman"/>
                <w:sz w:val="24"/>
                <w:szCs w:val="24"/>
              </w:rPr>
              <w:t>/d，</w:t>
            </w:r>
            <w:r>
              <w:rPr>
                <w:rFonts w:ascii="Times New Roman" w:hAnsi="Times New Roman" w:cs="Times New Roman"/>
                <w:sz w:val="24"/>
              </w:rPr>
              <w:t>本项目新增外排废水约1 m³/d，仅占日处理能力的0.002%，满足项目处理的需要，不会对污水处理厂造成冲击，可以稳定达标排放。</w:t>
            </w:r>
          </w:p>
          <w:p>
            <w:pPr>
              <w:pStyle w:val="4"/>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② </w:t>
            </w:r>
            <w:r>
              <w:rPr>
                <w:rFonts w:ascii="Times New Roman" w:hAnsi="Times New Roman" w:cs="Times New Roman"/>
                <w:sz w:val="24"/>
              </w:rPr>
              <w:t>小店污水处理厂二期管网铺设已完善并运行良好，本工程废水进入小店污水处理厂二期不存在管网制约因素。</w:t>
            </w:r>
          </w:p>
          <w:p>
            <w:pPr>
              <w:pStyle w:val="4"/>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（2）水质</w:t>
            </w:r>
          </w:p>
          <w:p>
            <w:pPr>
              <w:pStyle w:val="4"/>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本工程废水经公司污水处理站处理后经经开区管网入小店污水处理厂进行处理，厂区总排口水质见表</w:t>
            </w:r>
            <w:r>
              <w:rPr>
                <w:rFonts w:hint="eastAsia" w:ascii="Times New Roman" w:hAnsi="Times New Roman" w:cs="Times New Roman"/>
                <w:sz w:val="24"/>
              </w:rPr>
              <w:t>43</w:t>
            </w:r>
            <w:r>
              <w:rPr>
                <w:rFonts w:ascii="Times New Roman" w:hAnsi="Times New Roman" w:cs="Times New Roman"/>
                <w:sz w:val="24"/>
              </w:rPr>
              <w:t>：</w:t>
            </w:r>
          </w:p>
          <w:p>
            <w:pPr>
              <w:pStyle w:val="10"/>
              <w:adjustRightInd w:val="0"/>
              <w:snapToGrid w:val="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43</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项目排水与小店污水处理厂</w:t>
            </w:r>
            <w:r>
              <w:rPr>
                <w:rFonts w:hint="eastAsia" w:ascii="Times New Roman" w:hAnsi="Times New Roman" w:eastAsia="宋体" w:cs="Times New Roman"/>
                <w:b/>
                <w:bCs/>
                <w:sz w:val="22"/>
                <w:szCs w:val="22"/>
              </w:rPr>
              <w:t>二期</w:t>
            </w:r>
            <w:r>
              <w:rPr>
                <w:rFonts w:ascii="Times New Roman" w:hAnsi="Times New Roman" w:cs="Times New Roman"/>
                <w:b/>
                <w:bCs/>
                <w:sz w:val="22"/>
                <w:szCs w:val="22"/>
              </w:rPr>
              <w:t>收水水质对比 单位：mg/L</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3028"/>
              <w:gridCol w:w="1076"/>
              <w:gridCol w:w="1080"/>
              <w:gridCol w:w="1291"/>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8" w:type="pct"/>
                  <w:tcBorders>
                    <w:tl2br w:val="nil"/>
                    <w:tr2bl w:val="nil"/>
                  </w:tcBorders>
                  <w:vAlign w:val="center"/>
                </w:tcPr>
                <w:p>
                  <w:pPr>
                    <w:jc w:val="center"/>
                    <w:rPr>
                      <w:rFonts w:ascii="Times New Roman" w:hAnsi="Times New Roman" w:cs="Times New Roman"/>
                      <w:b/>
                      <w:sz w:val="21"/>
                      <w:szCs w:val="21"/>
                    </w:rPr>
                  </w:pPr>
                  <w:r>
                    <w:rPr>
                      <w:rFonts w:ascii="Times New Roman" w:hAnsi="Times New Roman" w:cs="Times New Roman"/>
                      <w:b/>
                      <w:sz w:val="21"/>
                      <w:szCs w:val="21"/>
                    </w:rPr>
                    <w:t>序号</w:t>
                  </w:r>
                </w:p>
              </w:tc>
              <w:tc>
                <w:tcPr>
                  <w:tcW w:w="1763" w:type="pct"/>
                  <w:tcBorders>
                    <w:tl2br w:val="nil"/>
                    <w:tr2bl w:val="nil"/>
                  </w:tcBorders>
                  <w:vAlign w:val="center"/>
                </w:tcPr>
                <w:p>
                  <w:pPr>
                    <w:jc w:val="center"/>
                    <w:rPr>
                      <w:rFonts w:ascii="Times New Roman" w:hAnsi="Times New Roman" w:cs="Times New Roman"/>
                      <w:b/>
                      <w:sz w:val="21"/>
                      <w:szCs w:val="21"/>
                    </w:rPr>
                  </w:pPr>
                  <w:r>
                    <w:rPr>
                      <w:rFonts w:ascii="Times New Roman" w:hAnsi="Times New Roman" w:cs="Times New Roman"/>
                      <w:b/>
                      <w:sz w:val="21"/>
                      <w:szCs w:val="21"/>
                    </w:rPr>
                    <w:t>项目</w:t>
                  </w:r>
                </w:p>
              </w:tc>
              <w:tc>
                <w:tcPr>
                  <w:tcW w:w="627" w:type="pct"/>
                  <w:tcBorders>
                    <w:tl2br w:val="nil"/>
                    <w:tr2bl w:val="nil"/>
                  </w:tcBorders>
                  <w:vAlign w:val="center"/>
                </w:tcPr>
                <w:p>
                  <w:pPr>
                    <w:jc w:val="center"/>
                    <w:rPr>
                      <w:rFonts w:ascii="Times New Roman" w:hAnsi="Times New Roman" w:cs="Times New Roman"/>
                      <w:b/>
                      <w:sz w:val="21"/>
                      <w:szCs w:val="21"/>
                    </w:rPr>
                  </w:pPr>
                  <w:r>
                    <w:rPr>
                      <w:rFonts w:ascii="Times New Roman" w:hAnsi="Times New Roman" w:cs="Times New Roman"/>
                      <w:b/>
                      <w:sz w:val="21"/>
                      <w:szCs w:val="21"/>
                    </w:rPr>
                    <w:t>COD</w:t>
                  </w:r>
                </w:p>
              </w:tc>
              <w:tc>
                <w:tcPr>
                  <w:tcW w:w="629" w:type="pct"/>
                  <w:tcBorders>
                    <w:tl2br w:val="nil"/>
                    <w:tr2bl w:val="nil"/>
                  </w:tcBorders>
                  <w:vAlign w:val="center"/>
                </w:tcPr>
                <w:p>
                  <w:pPr>
                    <w:jc w:val="center"/>
                    <w:rPr>
                      <w:rFonts w:ascii="Times New Roman" w:hAnsi="Times New Roman" w:cs="Times New Roman"/>
                      <w:b/>
                      <w:sz w:val="21"/>
                      <w:szCs w:val="21"/>
                    </w:rPr>
                  </w:pPr>
                  <w:r>
                    <w:rPr>
                      <w:rFonts w:ascii="Times New Roman" w:hAnsi="Times New Roman" w:cs="Times New Roman"/>
                      <w:b/>
                      <w:sz w:val="21"/>
                      <w:szCs w:val="21"/>
                    </w:rPr>
                    <w:t>SS</w:t>
                  </w:r>
                </w:p>
              </w:tc>
              <w:tc>
                <w:tcPr>
                  <w:tcW w:w="752" w:type="pct"/>
                  <w:tcBorders>
                    <w:tl2br w:val="nil"/>
                    <w:tr2bl w:val="nil"/>
                  </w:tcBorders>
                  <w:vAlign w:val="center"/>
                </w:tcPr>
                <w:p>
                  <w:pPr>
                    <w:jc w:val="center"/>
                    <w:rPr>
                      <w:rFonts w:ascii="Times New Roman" w:hAnsi="Times New Roman" w:cs="Times New Roman"/>
                      <w:b/>
                      <w:sz w:val="21"/>
                      <w:szCs w:val="21"/>
                    </w:rPr>
                  </w:pPr>
                  <w:r>
                    <w:rPr>
                      <w:rFonts w:ascii="Times New Roman" w:hAnsi="Times New Roman" w:cs="Times New Roman"/>
                      <w:b/>
                      <w:sz w:val="21"/>
                      <w:szCs w:val="21"/>
                    </w:rPr>
                    <w:t>NH</w:t>
                  </w:r>
                  <w:r>
                    <w:rPr>
                      <w:rFonts w:ascii="Times New Roman" w:hAnsi="Times New Roman" w:cs="Times New Roman"/>
                      <w:b/>
                      <w:sz w:val="21"/>
                      <w:szCs w:val="21"/>
                      <w:vertAlign w:val="subscript"/>
                    </w:rPr>
                    <w:t>3</w:t>
                  </w:r>
                  <w:r>
                    <w:rPr>
                      <w:rFonts w:ascii="Times New Roman" w:hAnsi="Times New Roman" w:cs="Times New Roman"/>
                      <w:b/>
                      <w:sz w:val="21"/>
                      <w:szCs w:val="21"/>
                    </w:rPr>
                    <w:t>-N</w:t>
                  </w:r>
                </w:p>
              </w:tc>
              <w:tc>
                <w:tcPr>
                  <w:tcW w:w="629" w:type="pct"/>
                  <w:tcBorders>
                    <w:tl2br w:val="nil"/>
                    <w:tr2bl w:val="nil"/>
                  </w:tcBorders>
                  <w:vAlign w:val="center"/>
                </w:tcPr>
                <w:p>
                  <w:pPr>
                    <w:jc w:val="center"/>
                    <w:rPr>
                      <w:rFonts w:ascii="Times New Roman" w:hAnsi="Times New Roman" w:cs="Times New Roman"/>
                      <w:b/>
                      <w:sz w:val="21"/>
                      <w:szCs w:val="21"/>
                    </w:rPr>
                  </w:pPr>
                  <w:r>
                    <w:rPr>
                      <w:rFonts w:ascii="Times New Roman" w:hAnsi="Times New Roman" w:cs="Times New Roman"/>
                      <w:b/>
                      <w:sz w:val="21"/>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8"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1</w:t>
                  </w:r>
                </w:p>
              </w:tc>
              <w:tc>
                <w:tcPr>
                  <w:tcW w:w="1763"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本项目污水处理站总排口水质</w:t>
                  </w:r>
                </w:p>
              </w:tc>
              <w:tc>
                <w:tcPr>
                  <w:tcW w:w="627"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300</w:t>
                  </w:r>
                </w:p>
              </w:tc>
              <w:tc>
                <w:tcPr>
                  <w:tcW w:w="629"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250</w:t>
                  </w:r>
                </w:p>
              </w:tc>
              <w:tc>
                <w:tcPr>
                  <w:tcW w:w="752"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25</w:t>
                  </w:r>
                </w:p>
              </w:tc>
              <w:tc>
                <w:tcPr>
                  <w:tcW w:w="629"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98"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2</w:t>
                  </w:r>
                </w:p>
              </w:tc>
              <w:tc>
                <w:tcPr>
                  <w:tcW w:w="1763"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小店污水处理厂</w:t>
                  </w:r>
                  <w:r>
                    <w:rPr>
                      <w:rFonts w:hint="eastAsia" w:ascii="Times New Roman" w:hAnsi="Times New Roman" w:cs="Times New Roman"/>
                      <w:bCs/>
                      <w:sz w:val="21"/>
                      <w:szCs w:val="21"/>
                    </w:rPr>
                    <w:t>二期</w:t>
                  </w:r>
                  <w:r>
                    <w:rPr>
                      <w:rFonts w:ascii="Times New Roman" w:hAnsi="Times New Roman" w:cs="Times New Roman"/>
                      <w:bCs/>
                      <w:sz w:val="21"/>
                      <w:szCs w:val="21"/>
                    </w:rPr>
                    <w:t>收水水质要求</w:t>
                  </w:r>
                </w:p>
              </w:tc>
              <w:tc>
                <w:tcPr>
                  <w:tcW w:w="627"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350</w:t>
                  </w:r>
                </w:p>
              </w:tc>
              <w:tc>
                <w:tcPr>
                  <w:tcW w:w="629"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280</w:t>
                  </w:r>
                </w:p>
              </w:tc>
              <w:tc>
                <w:tcPr>
                  <w:tcW w:w="752"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30</w:t>
                  </w:r>
                </w:p>
              </w:tc>
              <w:tc>
                <w:tcPr>
                  <w:tcW w:w="629"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361" w:type="pct"/>
                  <w:gridSpan w:val="2"/>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相符性</w:t>
                  </w:r>
                </w:p>
              </w:tc>
              <w:tc>
                <w:tcPr>
                  <w:tcW w:w="627"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相符</w:t>
                  </w:r>
                </w:p>
              </w:tc>
              <w:tc>
                <w:tcPr>
                  <w:tcW w:w="629"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相符</w:t>
                  </w:r>
                </w:p>
              </w:tc>
              <w:tc>
                <w:tcPr>
                  <w:tcW w:w="752"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相符</w:t>
                  </w:r>
                </w:p>
              </w:tc>
              <w:tc>
                <w:tcPr>
                  <w:tcW w:w="629" w:type="pct"/>
                  <w:tcBorders>
                    <w:tl2br w:val="nil"/>
                    <w:tr2bl w:val="nil"/>
                  </w:tcBorders>
                  <w:vAlign w:val="center"/>
                </w:tcPr>
                <w:p>
                  <w:pPr>
                    <w:jc w:val="center"/>
                    <w:rPr>
                      <w:rFonts w:ascii="Times New Roman" w:hAnsi="Times New Roman" w:cs="Times New Roman"/>
                      <w:bCs/>
                      <w:sz w:val="21"/>
                      <w:szCs w:val="21"/>
                    </w:rPr>
                  </w:pPr>
                  <w:r>
                    <w:rPr>
                      <w:rFonts w:ascii="Times New Roman" w:hAnsi="Times New Roman" w:cs="Times New Roman"/>
                      <w:bCs/>
                      <w:sz w:val="21"/>
                      <w:szCs w:val="21"/>
                    </w:rPr>
                    <w:t>相符</w:t>
                  </w:r>
                </w:p>
              </w:tc>
            </w:tr>
          </w:tbl>
          <w:p>
            <w:pPr>
              <w:adjustRightInd w:val="0"/>
              <w:snapToGrid w:val="0"/>
              <w:spacing w:line="360" w:lineRule="auto"/>
              <w:ind w:firstLine="480" w:firstLineChars="200"/>
              <w:rPr>
                <w:rFonts w:ascii="Times New Roman" w:hAnsi="Times New Roman" w:cs="Times New Roman"/>
                <w:kern w:val="0"/>
                <w:sz w:val="24"/>
                <w:szCs w:val="24"/>
              </w:rPr>
            </w:pPr>
            <w:r>
              <w:rPr>
                <w:rFonts w:hint="eastAsia" w:ascii="Times New Roman" w:hAnsi="Times New Roman" w:cs="Times New Roman"/>
                <w:sz w:val="24"/>
                <w:szCs w:val="24"/>
              </w:rPr>
              <w:t>项目废水主要为生活污水，废水产生量较小，废水污染物排放浓度较低，无重金属等毒性污染物，排入小店污水处理厂二期进行处理不会对其处理工艺及处理负荷产生影响。</w:t>
            </w:r>
            <w:r>
              <w:rPr>
                <w:rFonts w:ascii="Times New Roman" w:hAnsi="Times New Roman" w:cs="Times New Roman"/>
                <w:kern w:val="0"/>
                <w:sz w:val="24"/>
                <w:szCs w:val="24"/>
              </w:rPr>
              <w:t>综上，本项目外排废水经过处理后，对环境影响</w:t>
            </w:r>
            <w:r>
              <w:rPr>
                <w:rFonts w:hint="eastAsia" w:ascii="Times New Roman" w:hAnsi="Times New Roman" w:cs="Times New Roman"/>
                <w:kern w:val="0"/>
                <w:sz w:val="24"/>
                <w:szCs w:val="24"/>
              </w:rPr>
              <w:t>可接受。</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2.5</w:t>
            </w:r>
            <w:r>
              <w:rPr>
                <w:rFonts w:ascii="Times New Roman" w:hAnsi="Times New Roman" w:cs="Times New Roman"/>
                <w:sz w:val="24"/>
              </w:rPr>
              <w:t>建设项目</w:t>
            </w:r>
            <w:r>
              <w:rPr>
                <w:rFonts w:hint="eastAsia" w:ascii="Times New Roman" w:hAnsi="Times New Roman" w:cs="Times New Roman"/>
                <w:sz w:val="24"/>
              </w:rPr>
              <w:t>水污染物排放信息</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rPr>
              <w:t>① 废水类别、污染物及污染治理设施信息</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44</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废水类别、污染物及污染治理设施信息表</w:t>
            </w:r>
          </w:p>
          <w:tbl>
            <w:tblPr>
              <w:tblStyle w:val="28"/>
              <w:tblW w:w="85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1"/>
              <w:gridCol w:w="578"/>
              <w:gridCol w:w="906"/>
              <w:gridCol w:w="678"/>
              <w:gridCol w:w="496"/>
              <w:gridCol w:w="962"/>
              <w:gridCol w:w="916"/>
              <w:gridCol w:w="881"/>
              <w:gridCol w:w="722"/>
              <w:gridCol w:w="813"/>
              <w:gridCol w:w="11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1"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序号</w:t>
                  </w:r>
                </w:p>
              </w:tc>
              <w:tc>
                <w:tcPr>
                  <w:tcW w:w="578"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废水类别</w:t>
                  </w:r>
                </w:p>
              </w:tc>
              <w:tc>
                <w:tcPr>
                  <w:tcW w:w="906"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污染物种类</w:t>
                  </w:r>
                </w:p>
              </w:tc>
              <w:tc>
                <w:tcPr>
                  <w:tcW w:w="678"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排放去向</w:t>
                  </w:r>
                </w:p>
              </w:tc>
              <w:tc>
                <w:tcPr>
                  <w:tcW w:w="496" w:type="dxa"/>
                  <w:vMerge w:val="restart"/>
                  <w:tcBorders>
                    <w:tl2br w:val="nil"/>
                    <w:tr2bl w:val="nil"/>
                  </w:tcBorders>
                  <w:vAlign w:val="center"/>
                </w:tcPr>
                <w:p>
                  <w:pPr>
                    <w:widowControl/>
                    <w:autoSpaceDE w:val="0"/>
                    <w:autoSpaceDN w:val="0"/>
                    <w:adjustRightInd w:val="0"/>
                    <w:snapToGrid w:val="0"/>
                    <w:ind w:left="1" w:leftChars="-21" w:right="-106" w:rightChars="-38" w:hanging="60" w:hangingChars="33"/>
                    <w:jc w:val="center"/>
                    <w:rPr>
                      <w:rFonts w:ascii="Times New Roman" w:hAnsi="Times New Roman" w:cs="Times New Roman"/>
                      <w:b/>
                      <w:bCs/>
                      <w:kern w:val="0"/>
                      <w:sz w:val="18"/>
                      <w:szCs w:val="18"/>
                    </w:rPr>
                  </w:pPr>
                  <w:r>
                    <w:rPr>
                      <w:rFonts w:hint="eastAsia" w:ascii="宋体" w:hAnsi="宋体" w:cs="宋体"/>
                      <w:b/>
                      <w:bCs/>
                      <w:kern w:val="0"/>
                      <w:sz w:val="18"/>
                      <w:szCs w:val="18"/>
                    </w:rPr>
                    <w:t>排放</w:t>
                  </w:r>
                </w:p>
                <w:p>
                  <w:pPr>
                    <w:widowControl/>
                    <w:autoSpaceDE w:val="0"/>
                    <w:autoSpaceDN w:val="0"/>
                    <w:adjustRightInd w:val="0"/>
                    <w:snapToGrid w:val="0"/>
                    <w:ind w:left="1" w:leftChars="-21" w:right="-106" w:rightChars="-38" w:hanging="60" w:hangingChars="33"/>
                    <w:jc w:val="center"/>
                    <w:rPr>
                      <w:rFonts w:ascii="Times New Roman" w:hAnsi="Times New Roman" w:cs="Times New Roman"/>
                      <w:b/>
                      <w:bCs/>
                      <w:kern w:val="0"/>
                      <w:sz w:val="18"/>
                      <w:szCs w:val="18"/>
                    </w:rPr>
                  </w:pPr>
                  <w:r>
                    <w:rPr>
                      <w:rFonts w:hint="eastAsia" w:ascii="宋体" w:hAnsi="宋体" w:cs="宋体"/>
                      <w:b/>
                      <w:bCs/>
                      <w:kern w:val="0"/>
                      <w:sz w:val="18"/>
                      <w:szCs w:val="18"/>
                    </w:rPr>
                    <w:t>规律</w:t>
                  </w:r>
                </w:p>
              </w:tc>
              <w:tc>
                <w:tcPr>
                  <w:tcW w:w="2759" w:type="dxa"/>
                  <w:gridSpan w:val="3"/>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污染治理设施</w:t>
                  </w:r>
                </w:p>
              </w:tc>
              <w:tc>
                <w:tcPr>
                  <w:tcW w:w="722"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排放口编号</w:t>
                  </w:r>
                </w:p>
              </w:tc>
              <w:tc>
                <w:tcPr>
                  <w:tcW w:w="813"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排放口设置是否符合要求</w:t>
                  </w:r>
                </w:p>
              </w:tc>
              <w:tc>
                <w:tcPr>
                  <w:tcW w:w="1193"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1"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578"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906"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678"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496" w:type="dxa"/>
                  <w:vMerge w:val="continue"/>
                  <w:tcBorders>
                    <w:tl2br w:val="nil"/>
                    <w:tr2bl w:val="nil"/>
                  </w:tcBorders>
                  <w:vAlign w:val="center"/>
                </w:tcPr>
                <w:p>
                  <w:pPr>
                    <w:widowControl/>
                    <w:autoSpaceDE w:val="0"/>
                    <w:autoSpaceDN w:val="0"/>
                    <w:adjustRightInd w:val="0"/>
                    <w:snapToGrid w:val="0"/>
                    <w:ind w:leftChars="-21" w:right="-106" w:rightChars="-38" w:hanging="59" w:hangingChars="33"/>
                    <w:jc w:val="center"/>
                    <w:rPr>
                      <w:rFonts w:ascii="Times New Roman" w:hAnsi="Times New Roman" w:cs="Times New Roman"/>
                      <w:kern w:val="0"/>
                      <w:sz w:val="18"/>
                      <w:szCs w:val="18"/>
                    </w:rPr>
                  </w:pPr>
                </w:p>
              </w:tc>
              <w:tc>
                <w:tcPr>
                  <w:tcW w:w="962" w:type="dxa"/>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污染治理设施编号</w:t>
                  </w:r>
                </w:p>
              </w:tc>
              <w:tc>
                <w:tcPr>
                  <w:tcW w:w="916" w:type="dxa"/>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污染治理设施名称</w:t>
                  </w:r>
                </w:p>
              </w:tc>
              <w:tc>
                <w:tcPr>
                  <w:tcW w:w="881" w:type="dxa"/>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污染治理设施工艺</w:t>
                  </w:r>
                </w:p>
              </w:tc>
              <w:tc>
                <w:tcPr>
                  <w:tcW w:w="722"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813"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1193"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41"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578"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宋体" w:hAnsi="宋体" w:cs="宋体"/>
                      <w:kern w:val="0"/>
                      <w:sz w:val="18"/>
                      <w:szCs w:val="18"/>
                    </w:rPr>
                    <w:t>生活污水</w:t>
                  </w:r>
                </w:p>
              </w:tc>
              <w:tc>
                <w:tcPr>
                  <w:tcW w:w="906"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COD</w:t>
                  </w:r>
                  <w:r>
                    <w:rPr>
                      <w:rFonts w:hint="eastAsia" w:ascii="宋体" w:hAnsi="宋体" w:cs="宋体"/>
                      <w:kern w:val="0"/>
                      <w:sz w:val="18"/>
                      <w:szCs w:val="18"/>
                    </w:rPr>
                    <w:t>、</w:t>
                  </w:r>
                  <w:r>
                    <w:rPr>
                      <w:rFonts w:hint="eastAsia" w:ascii="Times New Roman" w:hAnsi="Times New Roman" w:cs="Times New Roman"/>
                      <w:kern w:val="0"/>
                      <w:sz w:val="18"/>
                      <w:szCs w:val="18"/>
                    </w:rPr>
                    <w:t>氨氮</w:t>
                  </w:r>
                  <w:r>
                    <w:rPr>
                      <w:rFonts w:hint="eastAsia" w:ascii="宋体" w:hAnsi="宋体" w:cs="宋体"/>
                      <w:kern w:val="0"/>
                      <w:sz w:val="18"/>
                      <w:szCs w:val="18"/>
                    </w:rPr>
                    <w:t>、</w:t>
                  </w:r>
                  <w:r>
                    <w:rPr>
                      <w:rFonts w:ascii="Times New Roman" w:hAnsi="Times New Roman" w:cs="Times New Roman"/>
                      <w:kern w:val="0"/>
                      <w:sz w:val="18"/>
                      <w:szCs w:val="18"/>
                    </w:rPr>
                    <w:t>SS</w:t>
                  </w:r>
                  <w:r>
                    <w:rPr>
                      <w:rFonts w:hint="eastAsia" w:ascii="宋体" w:hAnsi="宋体" w:cs="宋体"/>
                      <w:kern w:val="0"/>
                      <w:sz w:val="18"/>
                      <w:szCs w:val="18"/>
                    </w:rPr>
                    <w:t>、TP</w:t>
                  </w:r>
                  <w:r>
                    <w:rPr>
                      <w:rFonts w:hint="eastAsia" w:ascii="宋体" w:hAnsi="宋体" w:cs="宋体"/>
                      <w:kern w:val="0"/>
                      <w:sz w:val="18"/>
                      <w:szCs w:val="18"/>
                      <w:vertAlign w:val="subscript"/>
                    </w:rPr>
                    <w:t>5</w:t>
                  </w:r>
                </w:p>
              </w:tc>
              <w:tc>
                <w:tcPr>
                  <w:tcW w:w="678"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宋体" w:hAnsi="宋体" w:cs="宋体"/>
                      <w:kern w:val="0"/>
                      <w:sz w:val="18"/>
                      <w:szCs w:val="18"/>
                    </w:rPr>
                    <w:t>小店污水处理厂二期</w:t>
                  </w:r>
                </w:p>
              </w:tc>
              <w:tc>
                <w:tcPr>
                  <w:tcW w:w="496" w:type="dxa"/>
                  <w:tcBorders>
                    <w:tl2br w:val="nil"/>
                    <w:tr2bl w:val="nil"/>
                  </w:tcBorders>
                  <w:vAlign w:val="center"/>
                </w:tcPr>
                <w:p>
                  <w:pPr>
                    <w:widowControl/>
                    <w:autoSpaceDE w:val="0"/>
                    <w:autoSpaceDN w:val="0"/>
                    <w:adjustRightInd w:val="0"/>
                    <w:snapToGrid w:val="0"/>
                    <w:ind w:leftChars="-21" w:right="-106" w:rightChars="-38" w:hanging="59" w:hangingChars="33"/>
                    <w:jc w:val="center"/>
                    <w:rPr>
                      <w:rFonts w:ascii="Times New Roman" w:hAnsi="Times New Roman" w:cs="Times New Roman"/>
                      <w:kern w:val="0"/>
                      <w:sz w:val="18"/>
                      <w:szCs w:val="18"/>
                    </w:rPr>
                  </w:pPr>
                  <w:r>
                    <w:rPr>
                      <w:rFonts w:hint="eastAsia" w:ascii="宋体" w:hAnsi="宋体" w:cs="宋体"/>
                      <w:kern w:val="0"/>
                      <w:sz w:val="18"/>
                      <w:szCs w:val="18"/>
                    </w:rPr>
                    <w:t>间接</w:t>
                  </w:r>
                </w:p>
                <w:p>
                  <w:pPr>
                    <w:widowControl/>
                    <w:autoSpaceDE w:val="0"/>
                    <w:autoSpaceDN w:val="0"/>
                    <w:adjustRightInd w:val="0"/>
                    <w:snapToGrid w:val="0"/>
                    <w:ind w:leftChars="-21" w:right="-106" w:rightChars="-38" w:hanging="59" w:hangingChars="33"/>
                    <w:jc w:val="center"/>
                    <w:rPr>
                      <w:rFonts w:ascii="Times New Roman" w:hAnsi="Times New Roman" w:cs="Times New Roman"/>
                      <w:kern w:val="0"/>
                      <w:sz w:val="18"/>
                      <w:szCs w:val="18"/>
                    </w:rPr>
                  </w:pPr>
                  <w:r>
                    <w:rPr>
                      <w:rFonts w:hint="eastAsia" w:ascii="宋体" w:hAnsi="宋体" w:cs="宋体"/>
                      <w:kern w:val="0"/>
                      <w:sz w:val="18"/>
                      <w:szCs w:val="18"/>
                    </w:rPr>
                    <w:t>排放</w:t>
                  </w:r>
                </w:p>
              </w:tc>
              <w:tc>
                <w:tcPr>
                  <w:tcW w:w="962"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TW001</w:t>
                  </w:r>
                </w:p>
              </w:tc>
              <w:tc>
                <w:tcPr>
                  <w:tcW w:w="916"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宋体" w:hAnsi="宋体" w:cs="宋体"/>
                      <w:kern w:val="0"/>
                      <w:sz w:val="18"/>
                      <w:szCs w:val="18"/>
                    </w:rPr>
                    <w:t>化粪池</w:t>
                  </w:r>
                </w:p>
              </w:tc>
              <w:tc>
                <w:tcPr>
                  <w:tcW w:w="881"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宋体" w:hAnsi="宋体" w:cs="宋体"/>
                      <w:kern w:val="0"/>
                      <w:sz w:val="18"/>
                      <w:szCs w:val="18"/>
                    </w:rPr>
                    <w:t>化粪池</w:t>
                  </w:r>
                </w:p>
              </w:tc>
              <w:tc>
                <w:tcPr>
                  <w:tcW w:w="722" w:type="dxa"/>
                  <w:tcBorders>
                    <w:tl2br w:val="nil"/>
                    <w:tr2bl w:val="nil"/>
                  </w:tcBorders>
                  <w:vAlign w:val="center"/>
                </w:tcPr>
                <w:p>
                  <w:pPr>
                    <w:widowControl/>
                    <w:autoSpaceDE w:val="0"/>
                    <w:autoSpaceDN w:val="0"/>
                    <w:adjustRightInd w:val="0"/>
                    <w:snapToGrid w:val="0"/>
                    <w:ind w:left="4" w:leftChars="-42" w:right="-106" w:rightChars="-38" w:hanging="122" w:hangingChars="68"/>
                    <w:jc w:val="center"/>
                    <w:rPr>
                      <w:rFonts w:ascii="Times New Roman" w:hAnsi="Times New Roman" w:cs="Times New Roman"/>
                      <w:kern w:val="0"/>
                      <w:sz w:val="18"/>
                      <w:szCs w:val="18"/>
                    </w:rPr>
                  </w:pPr>
                  <w:r>
                    <w:rPr>
                      <w:rFonts w:ascii="Times New Roman" w:hAnsi="Times New Roman" w:cs="Times New Roman"/>
                      <w:kern w:val="0"/>
                      <w:sz w:val="18"/>
                      <w:szCs w:val="18"/>
                    </w:rPr>
                    <w:t>DW001</w:t>
                  </w:r>
                </w:p>
              </w:tc>
              <w:tc>
                <w:tcPr>
                  <w:tcW w:w="813"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Times New Roman" w:hAnsi="Times New Roman" w:cs="Times New Roman"/>
                      <w:spacing w:val="-4"/>
                      <w:sz w:val="18"/>
                      <w:szCs w:val="18"/>
                    </w:rPr>
                    <w:t>☑</w:t>
                  </w:r>
                  <w:r>
                    <w:rPr>
                      <w:rFonts w:hint="eastAsia" w:ascii="宋体" w:hAnsi="宋体" w:cs="宋体"/>
                      <w:kern w:val="0"/>
                      <w:sz w:val="18"/>
                      <w:szCs w:val="18"/>
                    </w:rPr>
                    <w:t>是</w:t>
                  </w:r>
                </w:p>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hint="eastAsia" w:ascii="宋体" w:hAnsi="宋体" w:cs="宋体"/>
                      <w:kern w:val="0"/>
                      <w:sz w:val="18"/>
                      <w:szCs w:val="18"/>
                    </w:rPr>
                    <w:t>否</w:t>
                  </w:r>
                </w:p>
              </w:tc>
              <w:tc>
                <w:tcPr>
                  <w:tcW w:w="1193"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Times New Roman" w:hAnsi="Times New Roman" w:cs="Times New Roman"/>
                      <w:spacing w:val="-4"/>
                      <w:sz w:val="18"/>
                      <w:szCs w:val="18"/>
                    </w:rPr>
                    <w:t>☑</w:t>
                  </w:r>
                  <w:r>
                    <w:rPr>
                      <w:rFonts w:hint="eastAsia" w:ascii="宋体" w:hAnsi="宋体" w:cs="宋体"/>
                      <w:kern w:val="0"/>
                      <w:sz w:val="18"/>
                      <w:szCs w:val="18"/>
                    </w:rPr>
                    <w:t>企业总排</w:t>
                  </w:r>
                </w:p>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hint="eastAsia" w:ascii="宋体" w:hAnsi="宋体" w:cs="宋体"/>
                      <w:kern w:val="0"/>
                      <w:sz w:val="18"/>
                      <w:szCs w:val="18"/>
                    </w:rPr>
                    <w:t>雨水排放</w:t>
                  </w:r>
                </w:p>
                <w:p>
                  <w:pPr>
                    <w:widowControl/>
                    <w:autoSpaceDE w:val="0"/>
                    <w:autoSpaceDN w:val="0"/>
                    <w:adjustRightInd w:val="0"/>
                    <w:snapToGrid w:val="0"/>
                    <w:ind w:right="-168" w:rightChars="-60"/>
                    <w:jc w:val="center"/>
                    <w:rPr>
                      <w:rFonts w:ascii="Times New Roman" w:hAnsi="Times New Roman" w:cs="Times New Roman"/>
                      <w:spacing w:val="-6"/>
                      <w:kern w:val="0"/>
                      <w:sz w:val="18"/>
                      <w:szCs w:val="18"/>
                    </w:rPr>
                  </w:pPr>
                  <w:r>
                    <w:rPr>
                      <w:rFonts w:ascii="Times New Roman" w:hAnsi="Times New Roman" w:cs="Times New Roman"/>
                      <w:spacing w:val="-6"/>
                      <w:kern w:val="0"/>
                      <w:sz w:val="18"/>
                      <w:szCs w:val="18"/>
                    </w:rPr>
                    <w:t>□</w:t>
                  </w:r>
                  <w:r>
                    <w:rPr>
                      <w:rFonts w:hint="eastAsia" w:ascii="宋体" w:hAnsi="宋体" w:cs="宋体"/>
                      <w:spacing w:val="-6"/>
                      <w:kern w:val="0"/>
                      <w:sz w:val="18"/>
                      <w:szCs w:val="18"/>
                    </w:rPr>
                    <w:t>清净下水排放</w:t>
                  </w:r>
                </w:p>
                <w:p>
                  <w:pPr>
                    <w:widowControl/>
                    <w:autoSpaceDE w:val="0"/>
                    <w:autoSpaceDN w:val="0"/>
                    <w:adjustRightInd w:val="0"/>
                    <w:snapToGrid w:val="0"/>
                    <w:ind w:right="-168" w:rightChars="-60"/>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hint="eastAsia" w:ascii="宋体" w:hAnsi="宋体" w:cs="宋体"/>
                      <w:kern w:val="0"/>
                      <w:sz w:val="18"/>
                      <w:szCs w:val="18"/>
                    </w:rPr>
                    <w:t>温排水排放</w:t>
                  </w:r>
                </w:p>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w:t>
                  </w:r>
                  <w:r>
                    <w:rPr>
                      <w:rFonts w:hint="eastAsia" w:ascii="宋体" w:hAnsi="宋体" w:cs="宋体"/>
                      <w:kern w:val="0"/>
                      <w:sz w:val="18"/>
                      <w:szCs w:val="18"/>
                    </w:rPr>
                    <w:t>车间或车间处理设施排放口</w:t>
                  </w:r>
                </w:p>
              </w:tc>
            </w:tr>
          </w:tbl>
          <w:p>
            <w:pPr>
              <w:widowControl/>
              <w:adjustRightInd w:val="0"/>
              <w:snapToGrid w:val="0"/>
              <w:spacing w:line="460" w:lineRule="exact"/>
              <w:ind w:firstLine="480"/>
              <w:rPr>
                <w:rFonts w:ascii="宋体" w:hAnsi="宋体" w:cs="宋体"/>
                <w:bCs/>
                <w:kern w:val="0"/>
                <w:sz w:val="24"/>
                <w:szCs w:val="24"/>
              </w:rPr>
            </w:pPr>
            <w:r>
              <w:rPr>
                <w:rFonts w:hint="eastAsia" w:ascii="宋体" w:hAnsi="宋体" w:cs="宋体"/>
                <w:bCs/>
                <w:kern w:val="0"/>
                <w:sz w:val="24"/>
                <w:szCs w:val="24"/>
              </w:rPr>
              <w:t>② 废水间接排放口基本情况</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45</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废水间接排放口基本情况表</w:t>
            </w:r>
          </w:p>
          <w:tbl>
            <w:tblPr>
              <w:tblStyle w:val="28"/>
              <w:tblW w:w="85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0"/>
              <w:gridCol w:w="789"/>
              <w:gridCol w:w="1078"/>
              <w:gridCol w:w="1000"/>
              <w:gridCol w:w="717"/>
              <w:gridCol w:w="688"/>
              <w:gridCol w:w="1075"/>
              <w:gridCol w:w="582"/>
              <w:gridCol w:w="587"/>
              <w:gridCol w:w="734"/>
              <w:gridCol w:w="10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30"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序号</w:t>
                  </w:r>
                </w:p>
              </w:tc>
              <w:tc>
                <w:tcPr>
                  <w:tcW w:w="789"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排放口编号</w:t>
                  </w:r>
                </w:p>
              </w:tc>
              <w:tc>
                <w:tcPr>
                  <w:tcW w:w="2078" w:type="dxa"/>
                  <w:gridSpan w:val="2"/>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排放口地理坐标</w:t>
                  </w:r>
                </w:p>
              </w:tc>
              <w:tc>
                <w:tcPr>
                  <w:tcW w:w="717"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废水</w:t>
                  </w:r>
                </w:p>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排放量</w:t>
                  </w:r>
                  <w:r>
                    <w:rPr>
                      <w:rFonts w:ascii="Times New Roman" w:hAnsi="Times New Roman" w:cs="Times New Roman"/>
                      <w:b/>
                      <w:bCs/>
                      <w:kern w:val="0"/>
                      <w:sz w:val="18"/>
                      <w:szCs w:val="18"/>
                    </w:rPr>
                    <w:t>/</w:t>
                  </w:r>
                </w:p>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w:t>
                  </w:r>
                  <w:r>
                    <w:rPr>
                      <w:rFonts w:ascii="Times New Roman" w:hAnsi="Times New Roman" w:cs="Times New Roman"/>
                      <w:b/>
                      <w:bCs/>
                      <w:kern w:val="0"/>
                      <w:sz w:val="18"/>
                      <w:szCs w:val="18"/>
                    </w:rPr>
                    <w:t>t/a</w:t>
                  </w:r>
                  <w:r>
                    <w:rPr>
                      <w:rFonts w:hint="eastAsia" w:ascii="宋体" w:hAnsi="宋体" w:cs="宋体"/>
                      <w:b/>
                      <w:bCs/>
                      <w:kern w:val="0"/>
                      <w:sz w:val="18"/>
                      <w:szCs w:val="18"/>
                    </w:rPr>
                    <w:t>）</w:t>
                  </w:r>
                </w:p>
              </w:tc>
              <w:tc>
                <w:tcPr>
                  <w:tcW w:w="688"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排放去向</w:t>
                  </w:r>
                </w:p>
              </w:tc>
              <w:tc>
                <w:tcPr>
                  <w:tcW w:w="1075"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排放规律</w:t>
                  </w:r>
                </w:p>
              </w:tc>
              <w:tc>
                <w:tcPr>
                  <w:tcW w:w="582"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间歇排放时段</w:t>
                  </w:r>
                </w:p>
              </w:tc>
              <w:tc>
                <w:tcPr>
                  <w:tcW w:w="2327" w:type="dxa"/>
                  <w:gridSpan w:val="3"/>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30"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p>
              </w:tc>
              <w:tc>
                <w:tcPr>
                  <w:tcW w:w="789"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p>
              </w:tc>
              <w:tc>
                <w:tcPr>
                  <w:tcW w:w="1078" w:type="dxa"/>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经度</w:t>
                  </w:r>
                </w:p>
              </w:tc>
              <w:tc>
                <w:tcPr>
                  <w:tcW w:w="1000" w:type="dxa"/>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纬度</w:t>
                  </w:r>
                </w:p>
              </w:tc>
              <w:tc>
                <w:tcPr>
                  <w:tcW w:w="717"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p>
              </w:tc>
              <w:tc>
                <w:tcPr>
                  <w:tcW w:w="688"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p>
              </w:tc>
              <w:tc>
                <w:tcPr>
                  <w:tcW w:w="1075"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p>
              </w:tc>
              <w:tc>
                <w:tcPr>
                  <w:tcW w:w="582"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p>
              </w:tc>
              <w:tc>
                <w:tcPr>
                  <w:tcW w:w="587" w:type="dxa"/>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名称</w:t>
                  </w:r>
                </w:p>
              </w:tc>
              <w:tc>
                <w:tcPr>
                  <w:tcW w:w="734" w:type="dxa"/>
                  <w:tcBorders>
                    <w:tl2br w:val="nil"/>
                    <w:tr2bl w:val="nil"/>
                  </w:tcBorders>
                  <w:vAlign w:val="center"/>
                </w:tcPr>
                <w:p>
                  <w:pPr>
                    <w:widowControl/>
                    <w:autoSpaceDE w:val="0"/>
                    <w:autoSpaceDN w:val="0"/>
                    <w:adjustRightInd w:val="0"/>
                    <w:snapToGrid w:val="0"/>
                    <w:ind w:left="2" w:leftChars="-9" w:right="-143" w:rightChars="-51" w:hanging="27" w:hangingChars="15"/>
                    <w:jc w:val="center"/>
                    <w:rPr>
                      <w:rFonts w:ascii="Times New Roman" w:hAnsi="Times New Roman" w:cs="Times New Roman"/>
                      <w:b/>
                      <w:bCs/>
                      <w:kern w:val="0"/>
                      <w:sz w:val="18"/>
                      <w:szCs w:val="18"/>
                    </w:rPr>
                  </w:pPr>
                  <w:r>
                    <w:rPr>
                      <w:rFonts w:hint="eastAsia" w:ascii="宋体" w:hAnsi="宋体" w:cs="宋体"/>
                      <w:b/>
                      <w:bCs/>
                      <w:kern w:val="0"/>
                      <w:sz w:val="18"/>
                      <w:szCs w:val="18"/>
                    </w:rPr>
                    <w:t>污染物</w:t>
                  </w:r>
                </w:p>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种类</w:t>
                  </w:r>
                </w:p>
              </w:tc>
              <w:tc>
                <w:tcPr>
                  <w:tcW w:w="1006" w:type="dxa"/>
                  <w:tcBorders>
                    <w:tl2br w:val="nil"/>
                    <w:tr2bl w:val="nil"/>
                  </w:tcBorders>
                  <w:vAlign w:val="center"/>
                </w:tcPr>
                <w:p>
                  <w:pPr>
                    <w:widowControl/>
                    <w:autoSpaceDE w:val="0"/>
                    <w:autoSpaceDN w:val="0"/>
                    <w:adjustRightInd w:val="0"/>
                    <w:snapToGrid w:val="0"/>
                    <w:jc w:val="center"/>
                    <w:rPr>
                      <w:rFonts w:ascii="Times New Roman" w:hAnsi="Times New Roman" w:cs="Times New Roman"/>
                      <w:b/>
                      <w:bCs/>
                      <w:kern w:val="0"/>
                      <w:sz w:val="18"/>
                      <w:szCs w:val="18"/>
                    </w:rPr>
                  </w:pPr>
                  <w:r>
                    <w:rPr>
                      <w:rFonts w:hint="eastAsia" w:ascii="宋体" w:hAnsi="宋体" w:cs="宋体"/>
                      <w:b/>
                      <w:bCs/>
                      <w:kern w:val="0"/>
                      <w:sz w:val="18"/>
                      <w:szCs w:val="18"/>
                    </w:rPr>
                    <w:t>国家或地方污染物浓度排放限值</w:t>
                  </w:r>
                  <w:r>
                    <w:rPr>
                      <w:rFonts w:ascii="Times New Roman" w:hAnsi="Times New Roman" w:cs="Times New Roman"/>
                      <w:b/>
                      <w:bCs/>
                      <w:kern w:val="0"/>
                      <w:sz w:val="18"/>
                      <w:szCs w:val="18"/>
                    </w:rPr>
                    <w:t>/</w:t>
                  </w:r>
                  <w:r>
                    <w:rPr>
                      <w:rFonts w:hint="eastAsia" w:ascii="宋体" w:hAnsi="宋体" w:cs="宋体"/>
                      <w:b/>
                      <w:bCs/>
                      <w:kern w:val="0"/>
                      <w:sz w:val="18"/>
                      <w:szCs w:val="18"/>
                    </w:rPr>
                    <w:t>（</w:t>
                  </w:r>
                  <w:r>
                    <w:rPr>
                      <w:rFonts w:ascii="Times New Roman" w:hAnsi="Times New Roman" w:cs="Times New Roman"/>
                      <w:b/>
                      <w:bCs/>
                      <w:kern w:val="0"/>
                      <w:sz w:val="18"/>
                      <w:szCs w:val="18"/>
                    </w:rPr>
                    <w:t>mg/L</w:t>
                  </w:r>
                  <w:r>
                    <w:rPr>
                      <w:rFonts w:hint="eastAsia" w:ascii="宋体" w:hAnsi="宋体" w:cs="宋体"/>
                      <w:b/>
                      <w:bCs/>
                      <w:kern w:val="0"/>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30"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1</w:t>
                  </w:r>
                </w:p>
              </w:tc>
              <w:tc>
                <w:tcPr>
                  <w:tcW w:w="789"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DW001</w:t>
                  </w:r>
                </w:p>
              </w:tc>
              <w:tc>
                <w:tcPr>
                  <w:tcW w:w="1078"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11</w:t>
                  </w:r>
                  <w:r>
                    <w:rPr>
                      <w:rFonts w:hint="eastAsia" w:ascii="Times New Roman" w:hAnsi="Times New Roman" w:cs="Times New Roman"/>
                      <w:kern w:val="0"/>
                      <w:sz w:val="18"/>
                      <w:szCs w:val="18"/>
                    </w:rPr>
                    <w:t>4.064322</w:t>
                  </w:r>
                </w:p>
              </w:tc>
              <w:tc>
                <w:tcPr>
                  <w:tcW w:w="1000"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35.</w:t>
                  </w:r>
                  <w:r>
                    <w:rPr>
                      <w:rFonts w:hint="eastAsia" w:ascii="Times New Roman" w:hAnsi="Times New Roman" w:cs="Times New Roman"/>
                      <w:kern w:val="0"/>
                      <w:sz w:val="18"/>
                      <w:szCs w:val="18"/>
                    </w:rPr>
                    <w:t>288983</w:t>
                  </w:r>
                </w:p>
              </w:tc>
              <w:tc>
                <w:tcPr>
                  <w:tcW w:w="717"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240</w:t>
                  </w:r>
                </w:p>
              </w:tc>
              <w:tc>
                <w:tcPr>
                  <w:tcW w:w="688"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宋体" w:hAnsi="宋体" w:cs="宋体"/>
                      <w:kern w:val="0"/>
                      <w:sz w:val="18"/>
                      <w:szCs w:val="18"/>
                    </w:rPr>
                    <w:t>小店污水处理厂二期</w:t>
                  </w:r>
                </w:p>
              </w:tc>
              <w:tc>
                <w:tcPr>
                  <w:tcW w:w="1075"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间断排放，排放期间流量不稳定且无规律，但不属于冲击型排放</w:t>
                  </w:r>
                </w:p>
              </w:tc>
              <w:tc>
                <w:tcPr>
                  <w:tcW w:w="582"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w:t>
                  </w:r>
                </w:p>
              </w:tc>
              <w:tc>
                <w:tcPr>
                  <w:tcW w:w="587" w:type="dxa"/>
                  <w:vMerge w:val="restart"/>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宋体" w:hAnsi="宋体" w:cs="宋体"/>
                      <w:kern w:val="0"/>
                      <w:sz w:val="18"/>
                      <w:szCs w:val="18"/>
                    </w:rPr>
                    <w:t>小店污水处理厂二期</w:t>
                  </w:r>
                </w:p>
              </w:tc>
              <w:tc>
                <w:tcPr>
                  <w:tcW w:w="734"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ascii="Times New Roman" w:hAnsi="Times New Roman" w:cs="Times New Roman"/>
                      <w:kern w:val="0"/>
                      <w:sz w:val="18"/>
                      <w:szCs w:val="18"/>
                    </w:rPr>
                    <w:t>COD</w:t>
                  </w:r>
                </w:p>
              </w:tc>
              <w:tc>
                <w:tcPr>
                  <w:tcW w:w="1006"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4</w:t>
                  </w:r>
                  <w:r>
                    <w:rPr>
                      <w:rFonts w:ascii="Times New Roman" w:hAnsi="Times New Roman" w:cs="Times New Roman"/>
                      <w:kern w:val="0"/>
                      <w:sz w:val="18"/>
                      <w:szCs w:val="18"/>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30"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789"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1078"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1000"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717"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688"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1075"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582"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587"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734"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氨氮</w:t>
                  </w:r>
                </w:p>
              </w:tc>
              <w:tc>
                <w:tcPr>
                  <w:tcW w:w="1006"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30"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789"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1078"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1000"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717"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688"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1075"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582"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587" w:type="dxa"/>
                  <w:vMerge w:val="continue"/>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p>
              </w:tc>
              <w:tc>
                <w:tcPr>
                  <w:tcW w:w="734"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TP</w:t>
                  </w:r>
                </w:p>
              </w:tc>
              <w:tc>
                <w:tcPr>
                  <w:tcW w:w="1006"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30" w:type="dxa"/>
                  <w:vMerge w:val="continue"/>
                  <w:tcBorders>
                    <w:tl2br w:val="nil"/>
                    <w:tr2bl w:val="nil"/>
                  </w:tcBorders>
                  <w:vAlign w:val="center"/>
                </w:tcPr>
                <w:p>
                  <w:pPr>
                    <w:widowControl/>
                    <w:autoSpaceDE w:val="0"/>
                    <w:autoSpaceDN w:val="0"/>
                    <w:adjustRightInd w:val="0"/>
                    <w:snapToGrid w:val="0"/>
                    <w:jc w:val="center"/>
                  </w:pPr>
                </w:p>
              </w:tc>
              <w:tc>
                <w:tcPr>
                  <w:tcW w:w="789" w:type="dxa"/>
                  <w:vMerge w:val="continue"/>
                  <w:tcBorders>
                    <w:tl2br w:val="nil"/>
                    <w:tr2bl w:val="nil"/>
                  </w:tcBorders>
                  <w:vAlign w:val="center"/>
                </w:tcPr>
                <w:p>
                  <w:pPr>
                    <w:widowControl/>
                    <w:autoSpaceDE w:val="0"/>
                    <w:autoSpaceDN w:val="0"/>
                    <w:adjustRightInd w:val="0"/>
                    <w:snapToGrid w:val="0"/>
                    <w:jc w:val="center"/>
                  </w:pPr>
                </w:p>
              </w:tc>
              <w:tc>
                <w:tcPr>
                  <w:tcW w:w="1078" w:type="dxa"/>
                  <w:vMerge w:val="continue"/>
                  <w:tcBorders>
                    <w:tl2br w:val="nil"/>
                    <w:tr2bl w:val="nil"/>
                  </w:tcBorders>
                  <w:vAlign w:val="center"/>
                </w:tcPr>
                <w:p>
                  <w:pPr>
                    <w:widowControl/>
                    <w:autoSpaceDE w:val="0"/>
                    <w:autoSpaceDN w:val="0"/>
                    <w:adjustRightInd w:val="0"/>
                    <w:snapToGrid w:val="0"/>
                    <w:jc w:val="center"/>
                  </w:pPr>
                </w:p>
              </w:tc>
              <w:tc>
                <w:tcPr>
                  <w:tcW w:w="1000" w:type="dxa"/>
                  <w:vMerge w:val="continue"/>
                  <w:tcBorders>
                    <w:tl2br w:val="nil"/>
                    <w:tr2bl w:val="nil"/>
                  </w:tcBorders>
                  <w:vAlign w:val="center"/>
                </w:tcPr>
                <w:p>
                  <w:pPr>
                    <w:widowControl/>
                    <w:autoSpaceDE w:val="0"/>
                    <w:autoSpaceDN w:val="0"/>
                    <w:adjustRightInd w:val="0"/>
                    <w:snapToGrid w:val="0"/>
                    <w:jc w:val="center"/>
                  </w:pPr>
                </w:p>
              </w:tc>
              <w:tc>
                <w:tcPr>
                  <w:tcW w:w="717" w:type="dxa"/>
                  <w:vMerge w:val="continue"/>
                  <w:tcBorders>
                    <w:tl2br w:val="nil"/>
                    <w:tr2bl w:val="nil"/>
                  </w:tcBorders>
                  <w:vAlign w:val="center"/>
                </w:tcPr>
                <w:p>
                  <w:pPr>
                    <w:widowControl/>
                    <w:autoSpaceDE w:val="0"/>
                    <w:autoSpaceDN w:val="0"/>
                    <w:adjustRightInd w:val="0"/>
                    <w:snapToGrid w:val="0"/>
                    <w:jc w:val="center"/>
                  </w:pPr>
                </w:p>
              </w:tc>
              <w:tc>
                <w:tcPr>
                  <w:tcW w:w="688" w:type="dxa"/>
                  <w:vMerge w:val="continue"/>
                  <w:tcBorders>
                    <w:tl2br w:val="nil"/>
                    <w:tr2bl w:val="nil"/>
                  </w:tcBorders>
                  <w:vAlign w:val="center"/>
                </w:tcPr>
                <w:p>
                  <w:pPr>
                    <w:widowControl/>
                    <w:autoSpaceDE w:val="0"/>
                    <w:autoSpaceDN w:val="0"/>
                    <w:adjustRightInd w:val="0"/>
                    <w:snapToGrid w:val="0"/>
                    <w:jc w:val="center"/>
                  </w:pPr>
                </w:p>
              </w:tc>
              <w:tc>
                <w:tcPr>
                  <w:tcW w:w="1075" w:type="dxa"/>
                  <w:vMerge w:val="continue"/>
                  <w:tcBorders>
                    <w:tl2br w:val="nil"/>
                    <w:tr2bl w:val="nil"/>
                  </w:tcBorders>
                  <w:vAlign w:val="center"/>
                </w:tcPr>
                <w:p>
                  <w:pPr>
                    <w:widowControl/>
                    <w:autoSpaceDE w:val="0"/>
                    <w:autoSpaceDN w:val="0"/>
                    <w:adjustRightInd w:val="0"/>
                    <w:snapToGrid w:val="0"/>
                    <w:jc w:val="center"/>
                  </w:pPr>
                </w:p>
              </w:tc>
              <w:tc>
                <w:tcPr>
                  <w:tcW w:w="582" w:type="dxa"/>
                  <w:vMerge w:val="continue"/>
                  <w:tcBorders>
                    <w:tl2br w:val="nil"/>
                    <w:tr2bl w:val="nil"/>
                  </w:tcBorders>
                  <w:vAlign w:val="center"/>
                </w:tcPr>
                <w:p>
                  <w:pPr>
                    <w:widowControl/>
                    <w:autoSpaceDE w:val="0"/>
                    <w:autoSpaceDN w:val="0"/>
                    <w:adjustRightInd w:val="0"/>
                    <w:snapToGrid w:val="0"/>
                    <w:jc w:val="center"/>
                  </w:pPr>
                </w:p>
              </w:tc>
              <w:tc>
                <w:tcPr>
                  <w:tcW w:w="587" w:type="dxa"/>
                  <w:vMerge w:val="continue"/>
                  <w:tcBorders>
                    <w:tl2br w:val="nil"/>
                    <w:tr2bl w:val="nil"/>
                  </w:tcBorders>
                  <w:vAlign w:val="center"/>
                </w:tcPr>
                <w:p>
                  <w:pPr>
                    <w:widowControl/>
                    <w:autoSpaceDE w:val="0"/>
                    <w:autoSpaceDN w:val="0"/>
                    <w:adjustRightInd w:val="0"/>
                    <w:snapToGrid w:val="0"/>
                    <w:jc w:val="center"/>
                  </w:pPr>
                </w:p>
              </w:tc>
              <w:tc>
                <w:tcPr>
                  <w:tcW w:w="734"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SS</w:t>
                  </w:r>
                </w:p>
              </w:tc>
              <w:tc>
                <w:tcPr>
                  <w:tcW w:w="1006" w:type="dxa"/>
                  <w:tcBorders>
                    <w:tl2br w:val="nil"/>
                    <w:tr2bl w:val="nil"/>
                  </w:tcBorders>
                  <w:vAlign w:val="center"/>
                </w:tcPr>
                <w:p>
                  <w:pPr>
                    <w:widowControl/>
                    <w:autoSpaceDE w:val="0"/>
                    <w:autoSpaceDN w:val="0"/>
                    <w:adjustRightInd w:val="0"/>
                    <w:snapToGrid w:val="0"/>
                    <w:jc w:val="center"/>
                    <w:rPr>
                      <w:rFonts w:ascii="Times New Roman" w:hAnsi="Times New Roman" w:cs="Times New Roman"/>
                      <w:kern w:val="0"/>
                      <w:sz w:val="18"/>
                      <w:szCs w:val="18"/>
                    </w:rPr>
                  </w:pPr>
                  <w:r>
                    <w:rPr>
                      <w:rFonts w:hint="eastAsia" w:ascii="Times New Roman" w:hAnsi="Times New Roman" w:cs="Times New Roman"/>
                      <w:kern w:val="0"/>
                      <w:sz w:val="18"/>
                      <w:szCs w:val="18"/>
                    </w:rPr>
                    <w:t>10</w:t>
                  </w:r>
                </w:p>
              </w:tc>
            </w:tr>
          </w:tbl>
          <w:p>
            <w:pPr>
              <w:widowControl/>
              <w:adjustRightInd w:val="0"/>
              <w:snapToGrid w:val="0"/>
              <w:spacing w:line="460" w:lineRule="exact"/>
              <w:ind w:firstLine="480"/>
              <w:rPr>
                <w:rFonts w:ascii="Times New Roman" w:hAnsi="Times New Roman" w:cs="Times New Roman"/>
                <w:bCs/>
                <w:kern w:val="0"/>
                <w:sz w:val="24"/>
                <w:szCs w:val="24"/>
              </w:rPr>
            </w:pPr>
            <w:r>
              <w:rPr>
                <w:rFonts w:hint="eastAsia" w:ascii="宋体" w:hAnsi="宋体" w:cs="宋体"/>
                <w:bCs/>
                <w:kern w:val="0"/>
                <w:sz w:val="24"/>
                <w:szCs w:val="24"/>
              </w:rPr>
              <w:t>③废水污染物排放执行标准</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46</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废水污染物排放执行标准表</w:t>
            </w:r>
          </w:p>
          <w:tbl>
            <w:tblPr>
              <w:tblStyle w:val="28"/>
              <w:tblW w:w="8715"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1"/>
              <w:gridCol w:w="1376"/>
              <w:gridCol w:w="1275"/>
              <w:gridCol w:w="2753"/>
              <w:gridCol w:w="256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1" w:type="dxa"/>
                  <w:vMerge w:val="restart"/>
                  <w:tcBorders>
                    <w:top w:val="single" w:color="000000" w:sz="12" w:space="0"/>
                  </w:tcBorders>
                  <w:vAlign w:val="center"/>
                </w:tcPr>
                <w:p>
                  <w:pPr>
                    <w:pStyle w:val="98"/>
                    <w:jc w:val="center"/>
                    <w:rPr>
                      <w:rFonts w:ascii="Times New Roman" w:hAnsi="Times New Roman" w:cs="Times New Roman"/>
                      <w:b/>
                      <w:bCs/>
                      <w:sz w:val="21"/>
                      <w:szCs w:val="21"/>
                    </w:rPr>
                  </w:pPr>
                  <w:r>
                    <w:rPr>
                      <w:rFonts w:ascii="Times New Roman" w:hAnsi="Times New Roman" w:cs="Times New Roman"/>
                      <w:b/>
                      <w:bCs/>
                      <w:sz w:val="21"/>
                      <w:szCs w:val="21"/>
                    </w:rPr>
                    <w:t>序号</w:t>
                  </w:r>
                </w:p>
              </w:tc>
              <w:tc>
                <w:tcPr>
                  <w:tcW w:w="1376" w:type="dxa"/>
                  <w:vMerge w:val="restart"/>
                  <w:tcBorders>
                    <w:top w:val="single" w:color="000000" w:sz="12" w:space="0"/>
                  </w:tcBorders>
                  <w:vAlign w:val="center"/>
                </w:tcPr>
                <w:p>
                  <w:pPr>
                    <w:pStyle w:val="98"/>
                    <w:jc w:val="center"/>
                    <w:rPr>
                      <w:rFonts w:ascii="Times New Roman" w:hAnsi="Times New Roman" w:cs="Times New Roman"/>
                      <w:b/>
                      <w:bCs/>
                      <w:sz w:val="21"/>
                      <w:szCs w:val="21"/>
                    </w:rPr>
                  </w:pPr>
                  <w:r>
                    <w:rPr>
                      <w:rFonts w:ascii="Times New Roman" w:hAnsi="Times New Roman" w:cs="Times New Roman"/>
                      <w:b/>
                      <w:bCs/>
                      <w:sz w:val="21"/>
                      <w:szCs w:val="21"/>
                    </w:rPr>
                    <w:t>排放口编号</w:t>
                  </w:r>
                </w:p>
              </w:tc>
              <w:tc>
                <w:tcPr>
                  <w:tcW w:w="1275" w:type="dxa"/>
                  <w:vMerge w:val="restart"/>
                  <w:tcBorders>
                    <w:top w:val="single" w:color="000000" w:sz="12" w:space="0"/>
                  </w:tcBorders>
                  <w:vAlign w:val="center"/>
                </w:tcPr>
                <w:p>
                  <w:pPr>
                    <w:pStyle w:val="98"/>
                    <w:jc w:val="center"/>
                    <w:rPr>
                      <w:rFonts w:ascii="Times New Roman" w:hAnsi="Times New Roman" w:cs="Times New Roman"/>
                      <w:b/>
                      <w:bCs/>
                      <w:sz w:val="21"/>
                      <w:szCs w:val="21"/>
                    </w:rPr>
                  </w:pPr>
                  <w:r>
                    <w:rPr>
                      <w:rFonts w:ascii="Times New Roman" w:hAnsi="Times New Roman" w:cs="Times New Roman"/>
                      <w:b/>
                      <w:bCs/>
                      <w:sz w:val="21"/>
                      <w:szCs w:val="21"/>
                    </w:rPr>
                    <w:t>污染物种类</w:t>
                  </w:r>
                </w:p>
              </w:tc>
              <w:tc>
                <w:tcPr>
                  <w:tcW w:w="5313" w:type="dxa"/>
                  <w:gridSpan w:val="2"/>
                  <w:tcBorders>
                    <w:top w:val="single" w:color="000000" w:sz="12" w:space="0"/>
                  </w:tcBorders>
                  <w:vAlign w:val="center"/>
                </w:tcPr>
                <w:p>
                  <w:pPr>
                    <w:pStyle w:val="98"/>
                    <w:jc w:val="center"/>
                    <w:rPr>
                      <w:rFonts w:ascii="Times New Roman" w:hAnsi="Times New Roman" w:cs="Times New Roman"/>
                      <w:b/>
                      <w:bCs/>
                      <w:sz w:val="21"/>
                      <w:szCs w:val="21"/>
                    </w:rPr>
                  </w:pPr>
                  <w:r>
                    <w:rPr>
                      <w:rFonts w:ascii="Times New Roman" w:hAnsi="Times New Roman" w:cs="Times New Roman"/>
                      <w:b/>
                      <w:bCs/>
                      <w:sz w:val="21"/>
                      <w:szCs w:val="21"/>
                    </w:rPr>
                    <w:t>国家或地方污染物排放标准及其他按规定商定的排放协议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1" w:type="dxa"/>
                  <w:vMerge w:val="continue"/>
                  <w:vAlign w:val="center"/>
                </w:tcPr>
                <w:p>
                  <w:pPr>
                    <w:jc w:val="center"/>
                    <w:rPr>
                      <w:rFonts w:ascii="Times New Roman" w:hAnsi="Times New Roman" w:cs="Times New Roman"/>
                      <w:b/>
                      <w:bCs/>
                      <w:sz w:val="21"/>
                      <w:szCs w:val="21"/>
                    </w:rPr>
                  </w:pPr>
                </w:p>
              </w:tc>
              <w:tc>
                <w:tcPr>
                  <w:tcW w:w="1376" w:type="dxa"/>
                  <w:vMerge w:val="continue"/>
                  <w:vAlign w:val="center"/>
                </w:tcPr>
                <w:p>
                  <w:pPr>
                    <w:jc w:val="center"/>
                    <w:rPr>
                      <w:rFonts w:ascii="Times New Roman" w:hAnsi="Times New Roman" w:cs="Times New Roman"/>
                      <w:b/>
                      <w:bCs/>
                      <w:sz w:val="21"/>
                      <w:szCs w:val="21"/>
                    </w:rPr>
                  </w:pPr>
                </w:p>
              </w:tc>
              <w:tc>
                <w:tcPr>
                  <w:tcW w:w="1275" w:type="dxa"/>
                  <w:vMerge w:val="continue"/>
                  <w:vAlign w:val="center"/>
                </w:tcPr>
                <w:p>
                  <w:pPr>
                    <w:jc w:val="center"/>
                    <w:rPr>
                      <w:rFonts w:ascii="Times New Roman" w:hAnsi="Times New Roman" w:cs="Times New Roman"/>
                      <w:b/>
                      <w:bCs/>
                      <w:sz w:val="21"/>
                      <w:szCs w:val="21"/>
                    </w:rPr>
                  </w:pPr>
                </w:p>
              </w:tc>
              <w:tc>
                <w:tcPr>
                  <w:tcW w:w="2753" w:type="dxa"/>
                  <w:vAlign w:val="center"/>
                </w:tcPr>
                <w:p>
                  <w:pPr>
                    <w:pStyle w:val="98"/>
                    <w:jc w:val="center"/>
                    <w:rPr>
                      <w:rFonts w:ascii="Times New Roman" w:hAnsi="Times New Roman" w:cs="Times New Roman"/>
                      <w:b/>
                      <w:bCs/>
                      <w:sz w:val="21"/>
                      <w:szCs w:val="21"/>
                    </w:rPr>
                  </w:pPr>
                  <w:r>
                    <w:rPr>
                      <w:rFonts w:ascii="Times New Roman" w:hAnsi="Times New Roman" w:cs="Times New Roman"/>
                      <w:b/>
                      <w:bCs/>
                      <w:sz w:val="21"/>
                      <w:szCs w:val="21"/>
                    </w:rPr>
                    <w:t>名称</w:t>
                  </w:r>
                </w:p>
              </w:tc>
              <w:tc>
                <w:tcPr>
                  <w:tcW w:w="2560" w:type="dxa"/>
                  <w:vAlign w:val="center"/>
                </w:tcPr>
                <w:p>
                  <w:pPr>
                    <w:pStyle w:val="98"/>
                    <w:jc w:val="center"/>
                    <w:rPr>
                      <w:rFonts w:ascii="Times New Roman" w:hAnsi="Times New Roman" w:cs="Times New Roman"/>
                      <w:b/>
                      <w:bCs/>
                      <w:sz w:val="21"/>
                      <w:szCs w:val="21"/>
                    </w:rPr>
                  </w:pPr>
                  <w:r>
                    <w:rPr>
                      <w:rFonts w:ascii="Times New Roman" w:hAnsi="Times New Roman" w:cs="Times New Roman"/>
                      <w:b/>
                      <w:bCs/>
                      <w:sz w:val="21"/>
                      <w:szCs w:val="21"/>
                    </w:rPr>
                    <w:t>浓度限值/(mg/L)</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1" w:type="dxa"/>
                  <w:vMerge w:val="restart"/>
                  <w:vAlign w:val="center"/>
                </w:tcPr>
                <w:p>
                  <w:pPr>
                    <w:pStyle w:val="98"/>
                    <w:spacing w:before="1"/>
                    <w:jc w:val="center"/>
                    <w:rPr>
                      <w:rFonts w:ascii="Times New Roman" w:hAnsi="Times New Roman" w:cs="Times New Roman"/>
                      <w:sz w:val="21"/>
                      <w:szCs w:val="21"/>
                    </w:rPr>
                  </w:pPr>
                  <w:r>
                    <w:rPr>
                      <w:rFonts w:ascii="Times New Roman" w:hAnsi="Times New Roman" w:cs="Times New Roman"/>
                      <w:sz w:val="21"/>
                      <w:szCs w:val="21"/>
                    </w:rPr>
                    <w:t>1</w:t>
                  </w:r>
                </w:p>
              </w:tc>
              <w:tc>
                <w:tcPr>
                  <w:tcW w:w="1376" w:type="dxa"/>
                  <w:vMerge w:val="restart"/>
                  <w:vAlign w:val="center"/>
                </w:tcPr>
                <w:p>
                  <w:pPr>
                    <w:pStyle w:val="98"/>
                    <w:spacing w:before="1"/>
                    <w:jc w:val="center"/>
                    <w:rPr>
                      <w:rFonts w:ascii="Times New Roman" w:hAnsi="Times New Roman" w:cs="Times New Roman"/>
                      <w:sz w:val="21"/>
                      <w:szCs w:val="21"/>
                    </w:rPr>
                  </w:pPr>
                  <w:r>
                    <w:rPr>
                      <w:rFonts w:ascii="Times New Roman" w:hAnsi="Times New Roman" w:cs="Times New Roman"/>
                      <w:sz w:val="21"/>
                      <w:szCs w:val="21"/>
                    </w:rPr>
                    <w:t>DW001</w:t>
                  </w:r>
                </w:p>
              </w:tc>
              <w:tc>
                <w:tcPr>
                  <w:tcW w:w="1275" w:type="dxa"/>
                  <w:vAlign w:val="center"/>
                </w:tcPr>
                <w:p>
                  <w:pPr>
                    <w:pStyle w:val="98"/>
                    <w:spacing w:before="1"/>
                    <w:jc w:val="center"/>
                    <w:rPr>
                      <w:rFonts w:ascii="Times New Roman" w:hAnsi="Times New Roman" w:cs="Times New Roman"/>
                      <w:sz w:val="21"/>
                      <w:szCs w:val="21"/>
                    </w:rPr>
                  </w:pPr>
                  <w:r>
                    <w:rPr>
                      <w:rFonts w:ascii="Times New Roman" w:hAnsi="Times New Roman" w:cs="Times New Roman"/>
                      <w:sz w:val="21"/>
                      <w:szCs w:val="21"/>
                    </w:rPr>
                    <w:t>COD</w:t>
                  </w:r>
                </w:p>
              </w:tc>
              <w:tc>
                <w:tcPr>
                  <w:tcW w:w="2753" w:type="dxa"/>
                  <w:vMerge w:val="restart"/>
                  <w:vAlign w:val="center"/>
                </w:tcPr>
                <w:p>
                  <w:pPr>
                    <w:pStyle w:val="98"/>
                    <w:jc w:val="center"/>
                    <w:rPr>
                      <w:rFonts w:ascii="Times New Roman" w:hAnsi="Times New Roman" w:cs="Times New Roman"/>
                      <w:sz w:val="21"/>
                      <w:szCs w:val="21"/>
                    </w:rPr>
                  </w:pPr>
                  <w:r>
                    <w:rPr>
                      <w:rFonts w:hint="eastAsia" w:ascii="Times New Roman" w:hAnsi="Times New Roman" w:cs="Times New Roman"/>
                      <w:sz w:val="21"/>
                      <w:szCs w:val="21"/>
                    </w:rPr>
                    <w:t>小店污水处理厂二期入水标准</w:t>
                  </w:r>
                </w:p>
              </w:tc>
              <w:tc>
                <w:tcPr>
                  <w:tcW w:w="2560" w:type="dxa"/>
                  <w:vAlign w:val="center"/>
                </w:tcPr>
                <w:p>
                  <w:pPr>
                    <w:pStyle w:val="98"/>
                    <w:spacing w:before="1"/>
                    <w:jc w:val="center"/>
                    <w:rPr>
                      <w:rFonts w:ascii="Times New Roman" w:hAnsi="Times New Roman" w:cs="Times New Roman"/>
                      <w:sz w:val="21"/>
                      <w:szCs w:val="21"/>
                    </w:rPr>
                  </w:pPr>
                  <w:r>
                    <w:rPr>
                      <w:rFonts w:ascii="Times New Roman" w:hAnsi="Times New Roman" w:cs="Times New Roman"/>
                      <w:sz w:val="21"/>
                      <w:szCs w:val="21"/>
                    </w:rPr>
                    <w:t>350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1" w:type="dxa"/>
                  <w:vMerge w:val="continue"/>
                  <w:vAlign w:val="center"/>
                </w:tcPr>
                <w:p>
                  <w:pPr>
                    <w:pStyle w:val="98"/>
                    <w:jc w:val="center"/>
                    <w:rPr>
                      <w:rFonts w:ascii="Times New Roman" w:hAnsi="Times New Roman" w:cs="Times New Roman"/>
                      <w:sz w:val="21"/>
                      <w:szCs w:val="21"/>
                    </w:rPr>
                  </w:pPr>
                </w:p>
              </w:tc>
              <w:tc>
                <w:tcPr>
                  <w:tcW w:w="1376" w:type="dxa"/>
                  <w:vMerge w:val="continue"/>
                  <w:vAlign w:val="center"/>
                </w:tcPr>
                <w:p>
                  <w:pPr>
                    <w:pStyle w:val="98"/>
                    <w:jc w:val="center"/>
                    <w:rPr>
                      <w:rFonts w:ascii="Times New Roman" w:hAnsi="Times New Roman" w:cs="Times New Roman"/>
                      <w:sz w:val="21"/>
                      <w:szCs w:val="21"/>
                    </w:rPr>
                  </w:pPr>
                </w:p>
              </w:tc>
              <w:tc>
                <w:tcPr>
                  <w:tcW w:w="1275" w:type="dxa"/>
                  <w:vAlign w:val="center"/>
                </w:tcPr>
                <w:p>
                  <w:pPr>
                    <w:pStyle w:val="98"/>
                    <w:jc w:val="center"/>
                    <w:rPr>
                      <w:rFonts w:ascii="Times New Roman" w:hAnsi="Times New Roman" w:cs="Times New Roman"/>
                      <w:sz w:val="21"/>
                      <w:szCs w:val="21"/>
                    </w:rPr>
                  </w:pPr>
                  <w:r>
                    <w:rPr>
                      <w:rFonts w:ascii="Times New Roman" w:hAnsi="Times New Roman" w:cs="Times New Roman"/>
                      <w:sz w:val="21"/>
                      <w:szCs w:val="21"/>
                    </w:rPr>
                    <w:t>氨氮</w:t>
                  </w:r>
                </w:p>
              </w:tc>
              <w:tc>
                <w:tcPr>
                  <w:tcW w:w="2753" w:type="dxa"/>
                  <w:vMerge w:val="continue"/>
                  <w:vAlign w:val="center"/>
                </w:tcPr>
                <w:p>
                  <w:pPr>
                    <w:pStyle w:val="98"/>
                    <w:jc w:val="center"/>
                    <w:rPr>
                      <w:rFonts w:ascii="Times New Roman" w:hAnsi="Times New Roman" w:cs="Times New Roman"/>
                      <w:sz w:val="21"/>
                      <w:szCs w:val="21"/>
                    </w:rPr>
                  </w:pPr>
                </w:p>
              </w:tc>
              <w:tc>
                <w:tcPr>
                  <w:tcW w:w="2560" w:type="dxa"/>
                  <w:vAlign w:val="center"/>
                </w:tcPr>
                <w:p>
                  <w:pPr>
                    <w:pStyle w:val="98"/>
                    <w:jc w:val="center"/>
                    <w:rPr>
                      <w:rFonts w:ascii="Times New Roman" w:hAnsi="Times New Roman" w:cs="Times New Roman"/>
                      <w:sz w:val="21"/>
                      <w:szCs w:val="21"/>
                    </w:rPr>
                  </w:pPr>
                  <w:r>
                    <w:rPr>
                      <w:rFonts w:ascii="Times New Roman" w:hAnsi="Times New Roman" w:cs="Times New Roman"/>
                      <w:sz w:val="21"/>
                      <w:szCs w:val="21"/>
                    </w:rPr>
                    <w:t>3</w:t>
                  </w:r>
                  <w:r>
                    <w:rPr>
                      <w:rFonts w:hint="eastAsia" w:ascii="Times New Roman" w:hAnsi="Times New Roman" w:cs="Times New Roman"/>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1" w:type="dxa"/>
                  <w:vMerge w:val="continue"/>
                  <w:vAlign w:val="center"/>
                </w:tcPr>
                <w:p>
                  <w:pPr>
                    <w:pStyle w:val="98"/>
                    <w:jc w:val="center"/>
                    <w:rPr>
                      <w:rFonts w:ascii="Times New Roman" w:hAnsi="Times New Roman" w:cs="Times New Roman"/>
                      <w:sz w:val="21"/>
                      <w:szCs w:val="21"/>
                    </w:rPr>
                  </w:pPr>
                </w:p>
              </w:tc>
              <w:tc>
                <w:tcPr>
                  <w:tcW w:w="1376" w:type="dxa"/>
                  <w:vMerge w:val="continue"/>
                  <w:vAlign w:val="center"/>
                </w:tcPr>
                <w:p>
                  <w:pPr>
                    <w:pStyle w:val="98"/>
                    <w:jc w:val="center"/>
                    <w:rPr>
                      <w:rFonts w:ascii="Times New Roman" w:hAnsi="Times New Roman" w:cs="Times New Roman"/>
                      <w:sz w:val="21"/>
                      <w:szCs w:val="21"/>
                    </w:rPr>
                  </w:pPr>
                </w:p>
              </w:tc>
              <w:tc>
                <w:tcPr>
                  <w:tcW w:w="1275" w:type="dxa"/>
                  <w:vAlign w:val="center"/>
                </w:tcPr>
                <w:p>
                  <w:pPr>
                    <w:pStyle w:val="98"/>
                    <w:jc w:val="center"/>
                    <w:rPr>
                      <w:rFonts w:ascii="Times New Roman" w:hAnsi="Times New Roman" w:cs="Times New Roman"/>
                      <w:sz w:val="21"/>
                      <w:szCs w:val="21"/>
                    </w:rPr>
                  </w:pPr>
                  <w:r>
                    <w:rPr>
                      <w:rFonts w:ascii="Times New Roman" w:hAnsi="Times New Roman" w:cs="Times New Roman"/>
                      <w:sz w:val="21"/>
                      <w:szCs w:val="21"/>
                    </w:rPr>
                    <w:t>SS</w:t>
                  </w:r>
                </w:p>
              </w:tc>
              <w:tc>
                <w:tcPr>
                  <w:tcW w:w="2753" w:type="dxa"/>
                  <w:vMerge w:val="continue"/>
                  <w:vAlign w:val="center"/>
                </w:tcPr>
                <w:p>
                  <w:pPr>
                    <w:pStyle w:val="98"/>
                    <w:jc w:val="center"/>
                    <w:rPr>
                      <w:rFonts w:ascii="Times New Roman" w:hAnsi="Times New Roman" w:cs="Times New Roman"/>
                      <w:sz w:val="21"/>
                      <w:szCs w:val="21"/>
                    </w:rPr>
                  </w:pPr>
                </w:p>
              </w:tc>
              <w:tc>
                <w:tcPr>
                  <w:tcW w:w="2560" w:type="dxa"/>
                  <w:vAlign w:val="center"/>
                </w:tcPr>
                <w:p>
                  <w:pPr>
                    <w:pStyle w:val="98"/>
                    <w:jc w:val="center"/>
                    <w:rPr>
                      <w:rFonts w:ascii="Times New Roman" w:hAnsi="Times New Roman" w:cs="Times New Roman"/>
                      <w:sz w:val="21"/>
                      <w:szCs w:val="21"/>
                    </w:rPr>
                  </w:pPr>
                  <w:r>
                    <w:rPr>
                      <w:rFonts w:hint="eastAsia" w:ascii="Times New Roman" w:hAnsi="Times New Roman" w:cs="Times New Roman"/>
                      <w:sz w:val="21"/>
                      <w:szCs w:val="21"/>
                    </w:rPr>
                    <w:t>280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1" w:type="dxa"/>
                  <w:vMerge w:val="continue"/>
                  <w:tcBorders>
                    <w:bottom w:val="single" w:color="000000" w:sz="12" w:space="0"/>
                  </w:tcBorders>
                  <w:vAlign w:val="center"/>
                </w:tcPr>
                <w:p>
                  <w:pPr>
                    <w:pStyle w:val="98"/>
                    <w:jc w:val="center"/>
                    <w:rPr>
                      <w:rFonts w:ascii="Times New Roman" w:hAnsi="Times New Roman" w:cs="Times New Roman"/>
                      <w:sz w:val="21"/>
                      <w:szCs w:val="21"/>
                    </w:rPr>
                  </w:pPr>
                </w:p>
              </w:tc>
              <w:tc>
                <w:tcPr>
                  <w:tcW w:w="1376" w:type="dxa"/>
                  <w:vMerge w:val="continue"/>
                  <w:tcBorders>
                    <w:bottom w:val="single" w:color="000000" w:sz="12" w:space="0"/>
                  </w:tcBorders>
                  <w:vAlign w:val="center"/>
                </w:tcPr>
                <w:p>
                  <w:pPr>
                    <w:pStyle w:val="98"/>
                    <w:jc w:val="center"/>
                    <w:rPr>
                      <w:rFonts w:ascii="Times New Roman" w:hAnsi="Times New Roman" w:cs="Times New Roman"/>
                      <w:sz w:val="21"/>
                      <w:szCs w:val="21"/>
                    </w:rPr>
                  </w:pPr>
                </w:p>
              </w:tc>
              <w:tc>
                <w:tcPr>
                  <w:tcW w:w="1275" w:type="dxa"/>
                  <w:tcBorders>
                    <w:bottom w:val="single" w:color="000000" w:sz="12" w:space="0"/>
                  </w:tcBorders>
                  <w:vAlign w:val="center"/>
                </w:tcPr>
                <w:p>
                  <w:pPr>
                    <w:pStyle w:val="98"/>
                    <w:jc w:val="center"/>
                    <w:rPr>
                      <w:rFonts w:ascii="Times New Roman" w:hAnsi="Times New Roman" w:cs="Times New Roman"/>
                      <w:sz w:val="21"/>
                      <w:szCs w:val="21"/>
                    </w:rPr>
                  </w:pPr>
                  <w:r>
                    <w:rPr>
                      <w:rFonts w:hint="eastAsia" w:ascii="Times New Roman" w:hAnsi="Times New Roman" w:cs="Times New Roman"/>
                      <w:sz w:val="21"/>
                      <w:szCs w:val="21"/>
                    </w:rPr>
                    <w:t>TP</w:t>
                  </w:r>
                </w:p>
              </w:tc>
              <w:tc>
                <w:tcPr>
                  <w:tcW w:w="2753" w:type="dxa"/>
                  <w:vMerge w:val="continue"/>
                  <w:tcBorders>
                    <w:bottom w:val="single" w:color="000000" w:sz="12" w:space="0"/>
                  </w:tcBorders>
                  <w:vAlign w:val="center"/>
                </w:tcPr>
                <w:p>
                  <w:pPr>
                    <w:pStyle w:val="98"/>
                    <w:jc w:val="center"/>
                    <w:rPr>
                      <w:rFonts w:ascii="Times New Roman" w:hAnsi="Times New Roman" w:cs="Times New Roman"/>
                      <w:sz w:val="21"/>
                      <w:szCs w:val="21"/>
                    </w:rPr>
                  </w:pPr>
                </w:p>
              </w:tc>
              <w:tc>
                <w:tcPr>
                  <w:tcW w:w="2560" w:type="dxa"/>
                  <w:tcBorders>
                    <w:bottom w:val="single" w:color="000000" w:sz="12" w:space="0"/>
                  </w:tcBorders>
                  <w:vAlign w:val="center"/>
                </w:tcPr>
                <w:p>
                  <w:pPr>
                    <w:pStyle w:val="98"/>
                    <w:jc w:val="center"/>
                    <w:rPr>
                      <w:rFonts w:ascii="Times New Roman" w:hAnsi="Times New Roman" w:cs="Times New Roman"/>
                      <w:sz w:val="21"/>
                      <w:szCs w:val="21"/>
                    </w:rPr>
                  </w:pPr>
                  <w:r>
                    <w:rPr>
                      <w:rFonts w:hint="eastAsia" w:ascii="Times New Roman" w:hAnsi="Times New Roman" w:cs="Times New Roman"/>
                      <w:sz w:val="21"/>
                      <w:szCs w:val="21"/>
                    </w:rPr>
                    <w:t>3</w:t>
                  </w:r>
                </w:p>
              </w:tc>
            </w:tr>
          </w:tbl>
          <w:p>
            <w:pPr>
              <w:widowControl/>
              <w:adjustRightInd w:val="0"/>
              <w:snapToGrid w:val="0"/>
              <w:spacing w:line="460" w:lineRule="exact"/>
              <w:ind w:firstLine="480"/>
              <w:rPr>
                <w:rFonts w:ascii="Times New Roman" w:hAnsi="Times New Roman" w:cs="Times New Roman"/>
                <w:bCs/>
                <w:kern w:val="0"/>
                <w:sz w:val="24"/>
                <w:szCs w:val="24"/>
              </w:rPr>
            </w:pPr>
            <w:r>
              <w:rPr>
                <w:rFonts w:hint="eastAsia" w:ascii="宋体" w:hAnsi="宋体" w:cs="宋体"/>
                <w:bCs/>
                <w:kern w:val="0"/>
                <w:sz w:val="24"/>
                <w:szCs w:val="24"/>
              </w:rPr>
              <w:t>④废水污染物排放信息</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47</w:t>
            </w:r>
            <w:r>
              <w:rPr>
                <w:rFonts w:ascii="Times New Roman" w:hAnsi="Times New Roman" w:cs="Times New Roman"/>
                <w:b/>
                <w:bCs/>
                <w:sz w:val="22"/>
                <w:szCs w:val="22"/>
              </w:rPr>
              <w:fldChar w:fldCharType="end"/>
            </w:r>
            <w:r>
              <w:rPr>
                <w:rFonts w:ascii="Times New Roman" w:hAnsi="Times New Roman" w:cs="Times New Roman"/>
                <w:b/>
                <w:bCs/>
                <w:sz w:val="22"/>
                <w:szCs w:val="22"/>
              </w:rPr>
              <w:t xml:space="preserve"> 废水污染物排放信息表</w:t>
            </w:r>
          </w:p>
          <w:tbl>
            <w:tblPr>
              <w:tblStyle w:val="28"/>
              <w:tblW w:w="85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172"/>
              <w:gridCol w:w="1614"/>
              <w:gridCol w:w="1641"/>
              <w:gridCol w:w="1620"/>
              <w:gridCol w:w="1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kern w:val="0"/>
                      <w:sz w:val="21"/>
                      <w:szCs w:val="21"/>
                    </w:rPr>
                  </w:pPr>
                  <w:r>
                    <w:rPr>
                      <w:rFonts w:hint="eastAsia" w:ascii="宋体" w:hAnsi="宋体" w:cs="宋体"/>
                      <w:b/>
                      <w:bCs/>
                      <w:kern w:val="0"/>
                      <w:sz w:val="21"/>
                      <w:szCs w:val="21"/>
                    </w:rPr>
                    <w:t>序号</w:t>
                  </w:r>
                </w:p>
              </w:tc>
              <w:tc>
                <w:tcPr>
                  <w:tcW w:w="1172"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kern w:val="0"/>
                      <w:sz w:val="21"/>
                      <w:szCs w:val="21"/>
                    </w:rPr>
                  </w:pPr>
                  <w:r>
                    <w:rPr>
                      <w:rFonts w:hint="eastAsia" w:ascii="宋体" w:hAnsi="宋体" w:cs="宋体"/>
                      <w:b/>
                      <w:bCs/>
                      <w:kern w:val="0"/>
                      <w:sz w:val="21"/>
                      <w:szCs w:val="21"/>
                    </w:rPr>
                    <w:t>排放口编号</w:t>
                  </w:r>
                </w:p>
              </w:tc>
              <w:tc>
                <w:tcPr>
                  <w:tcW w:w="1614"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kern w:val="0"/>
                      <w:sz w:val="21"/>
                      <w:szCs w:val="21"/>
                    </w:rPr>
                  </w:pPr>
                  <w:r>
                    <w:rPr>
                      <w:rFonts w:hint="eastAsia" w:ascii="宋体" w:hAnsi="宋体" w:cs="宋体"/>
                      <w:b/>
                      <w:bCs/>
                      <w:kern w:val="0"/>
                      <w:sz w:val="21"/>
                      <w:szCs w:val="21"/>
                    </w:rPr>
                    <w:t>污染物种类</w:t>
                  </w:r>
                </w:p>
              </w:tc>
              <w:tc>
                <w:tcPr>
                  <w:tcW w:w="1641"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kern w:val="0"/>
                      <w:sz w:val="21"/>
                      <w:szCs w:val="21"/>
                    </w:rPr>
                  </w:pPr>
                  <w:r>
                    <w:rPr>
                      <w:rFonts w:hint="eastAsia" w:ascii="宋体" w:hAnsi="宋体" w:cs="宋体"/>
                      <w:b/>
                      <w:bCs/>
                      <w:kern w:val="0"/>
                      <w:sz w:val="21"/>
                      <w:szCs w:val="21"/>
                    </w:rPr>
                    <w:t>预测排放浓度（</w:t>
                  </w:r>
                  <w:r>
                    <w:rPr>
                      <w:rFonts w:ascii="Times New Roman" w:hAnsi="Times New Roman" w:cs="Times New Roman"/>
                      <w:b/>
                      <w:bCs/>
                      <w:kern w:val="0"/>
                      <w:sz w:val="21"/>
                      <w:szCs w:val="21"/>
                    </w:rPr>
                    <w:t>mg/L</w:t>
                  </w:r>
                  <w:r>
                    <w:rPr>
                      <w:rFonts w:hint="eastAsia" w:ascii="宋体" w:hAnsi="宋体" w:cs="宋体"/>
                      <w:b/>
                      <w:bCs/>
                      <w:kern w:val="0"/>
                      <w:sz w:val="21"/>
                      <w:szCs w:val="21"/>
                    </w:rPr>
                    <w:t>）</w:t>
                  </w:r>
                </w:p>
              </w:tc>
              <w:tc>
                <w:tcPr>
                  <w:tcW w:w="1620"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kern w:val="0"/>
                      <w:sz w:val="21"/>
                      <w:szCs w:val="21"/>
                    </w:rPr>
                  </w:pPr>
                  <w:r>
                    <w:rPr>
                      <w:rFonts w:hint="eastAsia" w:ascii="宋体" w:hAnsi="宋体" w:cs="宋体"/>
                      <w:b/>
                      <w:bCs/>
                      <w:kern w:val="0"/>
                      <w:sz w:val="21"/>
                      <w:szCs w:val="21"/>
                    </w:rPr>
                    <w:t>日排放量（</w:t>
                  </w:r>
                  <w:r>
                    <w:rPr>
                      <w:rFonts w:ascii="Times New Roman" w:hAnsi="Times New Roman" w:cs="Times New Roman"/>
                      <w:b/>
                      <w:bCs/>
                      <w:kern w:val="0"/>
                      <w:sz w:val="21"/>
                      <w:szCs w:val="21"/>
                    </w:rPr>
                    <w:t>t/d</w:t>
                  </w:r>
                  <w:r>
                    <w:rPr>
                      <w:rFonts w:hint="eastAsia" w:ascii="宋体" w:hAnsi="宋体" w:cs="宋体"/>
                      <w:b/>
                      <w:bCs/>
                      <w:kern w:val="0"/>
                      <w:sz w:val="21"/>
                      <w:szCs w:val="21"/>
                    </w:rPr>
                    <w:t>）</w:t>
                  </w:r>
                </w:p>
              </w:tc>
              <w:tc>
                <w:tcPr>
                  <w:tcW w:w="1619"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b/>
                      <w:bCs/>
                      <w:kern w:val="0"/>
                      <w:sz w:val="21"/>
                      <w:szCs w:val="21"/>
                    </w:rPr>
                  </w:pPr>
                  <w:r>
                    <w:rPr>
                      <w:rFonts w:hint="eastAsia" w:ascii="宋体" w:hAnsi="宋体" w:cs="宋体"/>
                      <w:b/>
                      <w:bCs/>
                      <w:kern w:val="0"/>
                      <w:sz w:val="21"/>
                      <w:szCs w:val="21"/>
                    </w:rPr>
                    <w:t>年排放量（</w:t>
                  </w:r>
                  <w:r>
                    <w:rPr>
                      <w:rFonts w:ascii="Times New Roman" w:hAnsi="Times New Roman" w:cs="Times New Roman"/>
                      <w:b/>
                      <w:bCs/>
                      <w:kern w:val="0"/>
                      <w:sz w:val="21"/>
                      <w:szCs w:val="21"/>
                    </w:rPr>
                    <w:t>t/a</w:t>
                  </w:r>
                  <w:r>
                    <w:rPr>
                      <w:rFonts w:hint="eastAsia" w:ascii="宋体" w:hAnsi="宋体" w:cs="宋体"/>
                      <w:b/>
                      <w:bCs/>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1172" w:type="dxa"/>
                  <w:vMerge w:val="restart"/>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DW001</w:t>
                  </w:r>
                </w:p>
              </w:tc>
              <w:tc>
                <w:tcPr>
                  <w:tcW w:w="1614"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COD</w:t>
                  </w:r>
                </w:p>
              </w:tc>
              <w:tc>
                <w:tcPr>
                  <w:tcW w:w="1641"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300</w:t>
                  </w:r>
                </w:p>
              </w:tc>
              <w:tc>
                <w:tcPr>
                  <w:tcW w:w="16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sz w:val="21"/>
                      <w:szCs w:val="21"/>
                    </w:rPr>
                    <w:t>2.4</w:t>
                  </w:r>
                  <w:r>
                    <w:rPr>
                      <w:rFonts w:ascii="Times New Roman" w:hAnsi="Times New Roman" w:cs="Times New Roman"/>
                      <w:sz w:val="21"/>
                      <w:szCs w:val="21"/>
                    </w:rPr>
                    <w:t>×10</w:t>
                  </w:r>
                  <w:r>
                    <w:rPr>
                      <w:rFonts w:ascii="Times New Roman" w:hAnsi="Times New Roman" w:cs="Times New Roman"/>
                      <w:sz w:val="21"/>
                      <w:szCs w:val="21"/>
                      <w:vertAlign w:val="superscript"/>
                    </w:rPr>
                    <w:t>-</w:t>
                  </w:r>
                  <w:r>
                    <w:rPr>
                      <w:rFonts w:hint="eastAsia" w:ascii="Times New Roman" w:hAnsi="Times New Roman" w:cs="Times New Roman"/>
                      <w:sz w:val="21"/>
                      <w:szCs w:val="21"/>
                      <w:vertAlign w:val="superscript"/>
                    </w:rPr>
                    <w:t>4</w:t>
                  </w:r>
                </w:p>
              </w:tc>
              <w:tc>
                <w:tcPr>
                  <w:tcW w:w="1619"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172"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p>
              </w:tc>
              <w:tc>
                <w:tcPr>
                  <w:tcW w:w="1614"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氨氮</w:t>
                  </w:r>
                </w:p>
              </w:tc>
              <w:tc>
                <w:tcPr>
                  <w:tcW w:w="1641"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25</w:t>
                  </w:r>
                </w:p>
              </w:tc>
              <w:tc>
                <w:tcPr>
                  <w:tcW w:w="16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sz w:val="21"/>
                      <w:szCs w:val="21"/>
                    </w:rPr>
                    <w:t>2</w:t>
                  </w:r>
                  <w:r>
                    <w:rPr>
                      <w:rFonts w:ascii="Times New Roman" w:hAnsi="Times New Roman" w:cs="Times New Roman"/>
                      <w:sz w:val="21"/>
                      <w:szCs w:val="21"/>
                    </w:rPr>
                    <w:t>×10</w:t>
                  </w:r>
                  <w:r>
                    <w:rPr>
                      <w:rFonts w:ascii="Times New Roman" w:hAnsi="Times New Roman" w:cs="Times New Roman"/>
                      <w:sz w:val="21"/>
                      <w:szCs w:val="21"/>
                      <w:vertAlign w:val="superscript"/>
                    </w:rPr>
                    <w:t>-5</w:t>
                  </w:r>
                </w:p>
              </w:tc>
              <w:tc>
                <w:tcPr>
                  <w:tcW w:w="1619"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3</w:t>
                  </w:r>
                </w:p>
              </w:tc>
              <w:tc>
                <w:tcPr>
                  <w:tcW w:w="1172"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p>
              </w:tc>
              <w:tc>
                <w:tcPr>
                  <w:tcW w:w="1614"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SS</w:t>
                  </w:r>
                </w:p>
              </w:tc>
              <w:tc>
                <w:tcPr>
                  <w:tcW w:w="1641"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250</w:t>
                  </w:r>
                </w:p>
              </w:tc>
              <w:tc>
                <w:tcPr>
                  <w:tcW w:w="16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sz w:val="21"/>
                      <w:szCs w:val="21"/>
                    </w:rPr>
                    <w:t>2</w:t>
                  </w:r>
                  <w:r>
                    <w:rPr>
                      <w:rFonts w:ascii="Times New Roman" w:hAnsi="Times New Roman" w:cs="Times New Roman"/>
                      <w:sz w:val="21"/>
                      <w:szCs w:val="21"/>
                    </w:rPr>
                    <w:t>×10</w:t>
                  </w:r>
                  <w:r>
                    <w:rPr>
                      <w:rFonts w:ascii="Times New Roman" w:hAnsi="Times New Roman" w:cs="Times New Roman"/>
                      <w:sz w:val="21"/>
                      <w:szCs w:val="21"/>
                      <w:vertAlign w:val="superscript"/>
                    </w:rPr>
                    <w:t>-</w:t>
                  </w:r>
                  <w:r>
                    <w:rPr>
                      <w:rFonts w:hint="eastAsia" w:ascii="Times New Roman" w:hAnsi="Times New Roman" w:cs="Times New Roman"/>
                      <w:sz w:val="21"/>
                      <w:szCs w:val="21"/>
                      <w:vertAlign w:val="superscript"/>
                    </w:rPr>
                    <w:t>4</w:t>
                  </w:r>
                </w:p>
              </w:tc>
              <w:tc>
                <w:tcPr>
                  <w:tcW w:w="1619" w:type="dxa"/>
                  <w:tcBorders>
                    <w:tl2br w:val="nil"/>
                    <w:tr2bl w:val="nil"/>
                  </w:tcBorders>
                  <w:vAlign w:val="center"/>
                </w:tcPr>
                <w:p>
                  <w:pPr>
                    <w:widowControl/>
                    <w:autoSpaceDE w:val="0"/>
                    <w:autoSpaceDN w:val="0"/>
                    <w:adjustRightInd w:val="0"/>
                    <w:snapToGrid w:val="0"/>
                    <w:spacing w:line="288" w:lineRule="auto"/>
                    <w:jc w:val="center"/>
                    <w:rPr>
                      <w:sz w:val="21"/>
                      <w:szCs w:val="21"/>
                    </w:rPr>
                  </w:pPr>
                  <w:r>
                    <w:rPr>
                      <w:rFonts w:hint="eastAsia" w:ascii="Times New Roman" w:hAnsi="Times New Roman" w:cs="Times New Roman"/>
                      <w:kern w:val="0"/>
                      <w:sz w:val="21"/>
                      <w:szCs w:val="21"/>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4</w:t>
                  </w:r>
                </w:p>
              </w:tc>
              <w:tc>
                <w:tcPr>
                  <w:tcW w:w="1172" w:type="dxa"/>
                  <w:vMerge w:val="continue"/>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p>
              </w:tc>
              <w:tc>
                <w:tcPr>
                  <w:tcW w:w="1614"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TP</w:t>
                  </w:r>
                </w:p>
              </w:tc>
              <w:tc>
                <w:tcPr>
                  <w:tcW w:w="1641"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w:t>
                  </w:r>
                </w:p>
              </w:tc>
              <w:tc>
                <w:tcPr>
                  <w:tcW w:w="1620" w:type="dxa"/>
                  <w:tcBorders>
                    <w:tl2br w:val="nil"/>
                    <w:tr2bl w:val="nil"/>
                  </w:tcBorders>
                  <w:vAlign w:val="center"/>
                </w:tcPr>
                <w:p>
                  <w:pPr>
                    <w:spacing w:line="288" w:lineRule="auto"/>
                    <w:jc w:val="center"/>
                    <w:rPr>
                      <w:rFonts w:ascii="Times New Roman" w:hAnsi="Times New Roman" w:cs="Times New Roman"/>
                      <w:kern w:val="0"/>
                      <w:sz w:val="21"/>
                      <w:szCs w:val="21"/>
                    </w:rPr>
                  </w:pPr>
                  <w:r>
                    <w:rPr>
                      <w:rFonts w:hint="eastAsia" w:ascii="Times New Roman" w:hAnsi="Times New Roman" w:cs="Times New Roman"/>
                      <w:sz w:val="21"/>
                      <w:szCs w:val="21"/>
                    </w:rPr>
                    <w:t>1.6</w:t>
                  </w:r>
                  <w:r>
                    <w:rPr>
                      <w:rFonts w:ascii="Times New Roman" w:hAnsi="Times New Roman" w:cs="Times New Roman"/>
                      <w:sz w:val="21"/>
                      <w:szCs w:val="21"/>
                    </w:rPr>
                    <w:t>×10</w:t>
                  </w:r>
                  <w:r>
                    <w:rPr>
                      <w:rFonts w:ascii="Times New Roman" w:hAnsi="Times New Roman" w:cs="Times New Roman"/>
                      <w:sz w:val="21"/>
                      <w:szCs w:val="21"/>
                      <w:vertAlign w:val="superscript"/>
                    </w:rPr>
                    <w:t>-</w:t>
                  </w:r>
                  <w:r>
                    <w:rPr>
                      <w:rFonts w:hint="eastAsia" w:ascii="Times New Roman" w:hAnsi="Times New Roman" w:cs="Times New Roman"/>
                      <w:sz w:val="21"/>
                      <w:szCs w:val="21"/>
                      <w:vertAlign w:val="superscript"/>
                    </w:rPr>
                    <w:t>6</w:t>
                  </w:r>
                </w:p>
              </w:tc>
              <w:tc>
                <w:tcPr>
                  <w:tcW w:w="1619" w:type="dxa"/>
                  <w:tcBorders>
                    <w:tl2br w:val="nil"/>
                    <w:tr2bl w:val="nil"/>
                  </w:tcBorders>
                  <w:vAlign w:val="center"/>
                </w:tcPr>
                <w:p>
                  <w:pPr>
                    <w:widowControl/>
                    <w:autoSpaceDE w:val="0"/>
                    <w:autoSpaceDN w:val="0"/>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0.00048</w:t>
                  </w:r>
                </w:p>
              </w:tc>
            </w:tr>
          </w:tbl>
          <w:p>
            <w:pPr>
              <w:adjustRightInd w:val="0"/>
              <w:snapToGrid w:val="0"/>
              <w:spacing w:before="190" w:beforeLines="50" w:line="360" w:lineRule="auto"/>
              <w:ind w:firstLine="480" w:firstLineChars="200"/>
              <w:rPr>
                <w:rFonts w:ascii="Times New Roman" w:hAnsi="Times New Roman" w:cs="Times New Roman"/>
                <w:sz w:val="24"/>
              </w:rPr>
            </w:pPr>
            <w:r>
              <w:rPr>
                <w:rFonts w:hint="eastAsia" w:ascii="Times New Roman" w:hAnsi="Times New Roman" w:cs="Times New Roman"/>
                <w:sz w:val="24"/>
                <w:szCs w:val="24"/>
              </w:rPr>
              <w:t>本扩建项目生活污水年产排放量为240 t，</w:t>
            </w:r>
            <w:r>
              <w:rPr>
                <w:rFonts w:ascii="Times New Roman" w:hAnsi="Times New Roman" w:cs="Times New Roman"/>
                <w:sz w:val="24"/>
                <w:szCs w:val="24"/>
              </w:rPr>
              <w:t>项目废水</w:t>
            </w:r>
            <w:r>
              <w:rPr>
                <w:rFonts w:hint="eastAsia" w:ascii="Times New Roman" w:hAnsi="Times New Roman" w:cs="Times New Roman"/>
                <w:sz w:val="24"/>
                <w:szCs w:val="24"/>
              </w:rPr>
              <w:t>排放总量为</w:t>
            </w:r>
            <w:r>
              <w:rPr>
                <w:rFonts w:hint="eastAsia" w:ascii="Times New Roman" w:hAnsi="Times New Roman" w:cs="Times New Roman"/>
                <w:kern w:val="0"/>
                <w:sz w:val="24"/>
                <w:szCs w:val="24"/>
              </w:rPr>
              <w:t xml:space="preserve">SS </w:t>
            </w:r>
            <w:r>
              <w:rPr>
                <w:rFonts w:hint="eastAsia" w:ascii="Times New Roman" w:hAnsi="Times New Roman" w:cs="Times New Roman"/>
                <w:sz w:val="24"/>
                <w:szCs w:val="24"/>
              </w:rPr>
              <w:t>0.06 t/a、</w:t>
            </w:r>
            <w:r>
              <w:rPr>
                <w:rFonts w:ascii="Times New Roman" w:hAnsi="Times New Roman" w:cs="Times New Roman"/>
                <w:sz w:val="24"/>
                <w:szCs w:val="24"/>
              </w:rPr>
              <w:t>COD</w:t>
            </w:r>
            <w:r>
              <w:rPr>
                <w:rFonts w:hint="eastAsia" w:ascii="Times New Roman" w:hAnsi="Times New Roman" w:cs="Times New Roman"/>
                <w:sz w:val="24"/>
                <w:szCs w:val="24"/>
              </w:rPr>
              <w:t xml:space="preserve"> 0.072 t/a</w:t>
            </w:r>
            <w:r>
              <w:rPr>
                <w:rFonts w:ascii="Times New Roman" w:hAnsi="Times New Roman" w:cs="Times New Roman"/>
                <w:sz w:val="24"/>
                <w:szCs w:val="24"/>
              </w:rPr>
              <w:t>、</w:t>
            </w:r>
            <w:r>
              <w:rPr>
                <w:rFonts w:hint="eastAsia" w:ascii="Times New Roman" w:hAnsi="Times New Roman" w:cs="Times New Roman"/>
                <w:kern w:val="0"/>
                <w:sz w:val="24"/>
                <w:szCs w:val="24"/>
              </w:rPr>
              <w:t>TP</w:t>
            </w:r>
            <w:r>
              <w:rPr>
                <w:rFonts w:hint="eastAsia" w:ascii="Times New Roman" w:hAnsi="Times New Roman" w:cs="Times New Roman"/>
                <w:sz w:val="24"/>
                <w:szCs w:val="24"/>
              </w:rPr>
              <w:t xml:space="preserve"> 0.00048 t/a、氨氮0.006 t/a、扩建项目</w:t>
            </w:r>
            <w:r>
              <w:rPr>
                <w:rFonts w:ascii="Times New Roman" w:hAnsi="Times New Roman" w:cs="Times New Roman"/>
                <w:sz w:val="24"/>
                <w:szCs w:val="24"/>
              </w:rPr>
              <w:t>经污水处理厂处理后最终污染物排放量为</w:t>
            </w:r>
            <w:r>
              <w:rPr>
                <w:rFonts w:hint="eastAsia" w:ascii="Times New Roman" w:hAnsi="Times New Roman" w:cs="Times New Roman"/>
                <w:kern w:val="0"/>
                <w:sz w:val="24"/>
                <w:szCs w:val="24"/>
              </w:rPr>
              <w:t>SS</w:t>
            </w:r>
            <w:r>
              <w:rPr>
                <w:rFonts w:ascii="Times New Roman" w:hAnsi="Times New Roman" w:cs="Times New Roman"/>
                <w:sz w:val="24"/>
                <w:szCs w:val="24"/>
              </w:rPr>
              <w:t>0.00</w:t>
            </w:r>
            <w:r>
              <w:rPr>
                <w:rFonts w:hint="eastAsia" w:ascii="Times New Roman" w:hAnsi="Times New Roman" w:cs="Times New Roman"/>
                <w:sz w:val="24"/>
                <w:szCs w:val="24"/>
              </w:rPr>
              <w:t xml:space="preserve">24 </w:t>
            </w:r>
            <w:r>
              <w:rPr>
                <w:rFonts w:ascii="Times New Roman" w:hAnsi="Times New Roman" w:cs="Times New Roman"/>
                <w:sz w:val="24"/>
                <w:szCs w:val="24"/>
              </w:rPr>
              <w:t>t/a</w:t>
            </w:r>
            <w:r>
              <w:rPr>
                <w:rFonts w:hint="eastAsia" w:ascii="Times New Roman" w:hAnsi="Times New Roman" w:cs="Times New Roman"/>
                <w:sz w:val="24"/>
                <w:szCs w:val="24"/>
              </w:rPr>
              <w:t>、</w:t>
            </w:r>
            <w:r>
              <w:rPr>
                <w:rFonts w:ascii="Times New Roman" w:hAnsi="Times New Roman" w:cs="Times New Roman"/>
                <w:sz w:val="24"/>
                <w:szCs w:val="24"/>
              </w:rPr>
              <w:t>COD0.0</w:t>
            </w:r>
            <w:r>
              <w:rPr>
                <w:rFonts w:hint="eastAsia" w:ascii="Times New Roman" w:hAnsi="Times New Roman" w:cs="Times New Roman"/>
                <w:sz w:val="24"/>
                <w:szCs w:val="24"/>
              </w:rPr>
              <w:t>096</w:t>
            </w:r>
            <w:r>
              <w:rPr>
                <w:rFonts w:ascii="Times New Roman" w:hAnsi="Times New Roman" w:cs="Times New Roman"/>
                <w:sz w:val="24"/>
                <w:szCs w:val="24"/>
              </w:rPr>
              <w:t>t/a、</w:t>
            </w:r>
            <w:r>
              <w:rPr>
                <w:rFonts w:hint="eastAsia" w:ascii="Times New Roman" w:hAnsi="Times New Roman" w:cs="Times New Roman"/>
                <w:kern w:val="0"/>
                <w:sz w:val="24"/>
                <w:szCs w:val="24"/>
              </w:rPr>
              <w:t>TP</w:t>
            </w:r>
            <w:r>
              <w:rPr>
                <w:rFonts w:ascii="Times New Roman" w:hAnsi="Times New Roman" w:cs="Times New Roman"/>
                <w:sz w:val="24"/>
                <w:szCs w:val="24"/>
              </w:rPr>
              <w:t>0.00</w:t>
            </w:r>
            <w:r>
              <w:rPr>
                <w:rFonts w:hint="eastAsia" w:ascii="Times New Roman" w:hAnsi="Times New Roman" w:cs="Times New Roman"/>
                <w:sz w:val="24"/>
                <w:szCs w:val="24"/>
              </w:rPr>
              <w:t>0096</w:t>
            </w:r>
            <w:r>
              <w:rPr>
                <w:rFonts w:ascii="Times New Roman" w:hAnsi="Times New Roman" w:cs="Times New Roman"/>
                <w:sz w:val="24"/>
                <w:szCs w:val="24"/>
              </w:rPr>
              <w:t>t/a</w:t>
            </w:r>
            <w:r>
              <w:rPr>
                <w:rFonts w:hint="eastAsia" w:ascii="Times New Roman" w:hAnsi="Times New Roman" w:cs="Times New Roman"/>
                <w:sz w:val="24"/>
                <w:szCs w:val="24"/>
              </w:rPr>
              <w:t>、氨氮</w:t>
            </w:r>
            <w:r>
              <w:rPr>
                <w:rFonts w:ascii="Times New Roman" w:hAnsi="Times New Roman" w:cs="Times New Roman"/>
                <w:sz w:val="24"/>
                <w:szCs w:val="24"/>
              </w:rPr>
              <w:t>0.00</w:t>
            </w:r>
            <w:r>
              <w:rPr>
                <w:rFonts w:hint="eastAsia" w:ascii="Times New Roman" w:hAnsi="Times New Roman" w:cs="Times New Roman"/>
                <w:sz w:val="24"/>
                <w:szCs w:val="24"/>
              </w:rPr>
              <w:t>048</w:t>
            </w:r>
            <w:r>
              <w:rPr>
                <w:rFonts w:ascii="Times New Roman" w:hAnsi="Times New Roman" w:cs="Times New Roman"/>
                <w:sz w:val="24"/>
                <w:szCs w:val="24"/>
              </w:rPr>
              <w:t>t/a</w:t>
            </w:r>
            <w:r>
              <w:rPr>
                <w:rFonts w:hint="eastAsia" w:ascii="Times New Roman" w:hAnsi="Times New Roman" w:cs="Times New Roman"/>
                <w:sz w:val="24"/>
                <w:szCs w:val="24"/>
              </w:rPr>
              <w:t>。</w:t>
            </w:r>
          </w:p>
          <w:p>
            <w:pPr>
              <w:adjustRightInd w:val="0"/>
              <w:snapToGrid w:val="0"/>
              <w:spacing w:before="190" w:beforeLines="50" w:line="360" w:lineRule="auto"/>
              <w:jc w:val="left"/>
              <w:rPr>
                <w:rFonts w:ascii="Times New Roman" w:hAnsi="Times New Roman" w:cs="Times New Roman"/>
                <w:b/>
                <w:bCs/>
                <w:kern w:val="0"/>
                <w:sz w:val="24"/>
                <w:szCs w:val="24"/>
              </w:rPr>
            </w:pPr>
            <w:r>
              <w:rPr>
                <w:rFonts w:ascii="Times New Roman" w:hAnsi="Times New Roman" w:cs="Times New Roman"/>
                <w:b/>
                <w:bCs/>
                <w:kern w:val="0"/>
                <w:sz w:val="24"/>
                <w:szCs w:val="24"/>
              </w:rPr>
              <w:t>3、固体废物污染源分析</w:t>
            </w:r>
          </w:p>
          <w:p>
            <w:pPr>
              <w:adjustRightInd w:val="0"/>
              <w:snapToGrid w:val="0"/>
              <w:spacing w:line="360" w:lineRule="auto"/>
              <w:ind w:firstLine="472" w:firstLineChars="200"/>
              <w:jc w:val="left"/>
              <w:rPr>
                <w:rFonts w:ascii="Times New Roman" w:hAnsi="Times New Roman" w:cs="Times New Roman"/>
                <w:spacing w:val="-2"/>
                <w:sz w:val="24"/>
              </w:rPr>
            </w:pPr>
            <w:r>
              <w:rPr>
                <w:rFonts w:hint="eastAsia" w:ascii="Times New Roman" w:hAnsi="Times New Roman" w:cs="Times New Roman"/>
                <w:spacing w:val="-2"/>
                <w:sz w:val="24"/>
              </w:rPr>
              <w:t>3.1 固体废物产生情况</w:t>
            </w:r>
          </w:p>
          <w:p>
            <w:pPr>
              <w:adjustRightInd w:val="0"/>
              <w:snapToGrid w:val="0"/>
              <w:spacing w:line="360" w:lineRule="auto"/>
              <w:ind w:firstLine="472" w:firstLineChars="200"/>
              <w:jc w:val="left"/>
              <w:rPr>
                <w:rFonts w:ascii="Times New Roman" w:hAnsi="Times New Roman" w:cs="Times New Roman"/>
                <w:spacing w:val="-2"/>
                <w:sz w:val="24"/>
              </w:rPr>
            </w:pPr>
            <w:r>
              <w:rPr>
                <w:rFonts w:ascii="Times New Roman" w:hAnsi="Times New Roman" w:cs="Times New Roman"/>
                <w:spacing w:val="-2"/>
                <w:sz w:val="24"/>
              </w:rPr>
              <w:t>工程固废主要包括</w:t>
            </w:r>
            <w:r>
              <w:rPr>
                <w:rFonts w:hint="eastAsia" w:ascii="Times New Roman" w:hAnsi="Times New Roman" w:cs="Times New Roman"/>
                <w:spacing w:val="-2"/>
                <w:sz w:val="24"/>
              </w:rPr>
              <w:t>项目下料、机加工工序产生的废金属碎屑（桌面、地面散落粉尘）、废边角料、除尘器收集粉尘、废包装物，机械设备运转过程中产生的废液压油和废润滑油以及职工办公生活垃圾。其中废金属碎屑（桌面、地面散落粉尘）、下料、机加工工序产生的边角料为一般固废，机械设备运转过程中产生的废液压油和废润滑油及废油桶为危险废物。</w:t>
            </w:r>
          </w:p>
          <w:p>
            <w:pPr>
              <w:numPr>
                <w:ilvl w:val="0"/>
                <w:numId w:val="4"/>
              </w:num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一般固废</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项目生产过程中下料和机加工过程中会产生一定量的废边角料</w:t>
            </w:r>
            <w:r>
              <w:rPr>
                <w:rFonts w:hint="eastAsia" w:ascii="Times New Roman" w:hAnsi="Times New Roman" w:cs="Times New Roman"/>
                <w:sz w:val="24"/>
                <w:szCs w:val="24"/>
              </w:rPr>
              <w:t>，</w:t>
            </w:r>
            <w:r>
              <w:rPr>
                <w:rFonts w:ascii="Times New Roman" w:hAnsi="Times New Roman" w:cs="Times New Roman"/>
                <w:sz w:val="24"/>
                <w:szCs w:val="24"/>
              </w:rPr>
              <w:t>产生量约为</w:t>
            </w:r>
            <w:r>
              <w:rPr>
                <w:rFonts w:hint="eastAsia" w:ascii="Times New Roman" w:hAnsi="Times New Roman" w:cs="Times New Roman"/>
                <w:sz w:val="24"/>
                <w:szCs w:val="24"/>
              </w:rPr>
              <w:t>2</w:t>
            </w:r>
            <w:r>
              <w:rPr>
                <w:rFonts w:ascii="Times New Roman" w:hAnsi="Times New Roman" w:cs="Times New Roman"/>
                <w:sz w:val="24"/>
                <w:szCs w:val="24"/>
              </w:rPr>
              <w:t>t/a</w:t>
            </w:r>
            <w:r>
              <w:rPr>
                <w:rFonts w:hint="eastAsia" w:ascii="Times New Roman" w:hAnsi="Times New Roman" w:cs="Times New Roman"/>
                <w:sz w:val="24"/>
                <w:szCs w:val="24"/>
              </w:rPr>
              <w:t>。打磨过程中产生的金属碎屑</w:t>
            </w:r>
            <w:r>
              <w:rPr>
                <w:rFonts w:ascii="Times New Roman" w:hAnsi="Times New Roman" w:cs="Times New Roman"/>
                <w:sz w:val="24"/>
                <w:szCs w:val="24"/>
              </w:rPr>
              <w:t>约为</w:t>
            </w:r>
            <w:r>
              <w:rPr>
                <w:rFonts w:hint="eastAsia" w:ascii="Times New Roman" w:hAnsi="Times New Roman" w:cs="Times New Roman"/>
                <w:sz w:val="24"/>
                <w:szCs w:val="24"/>
              </w:rPr>
              <w:t>0.05t</w:t>
            </w:r>
            <w:r>
              <w:rPr>
                <w:rFonts w:ascii="Times New Roman" w:hAnsi="Times New Roman" w:cs="Times New Roman"/>
                <w:sz w:val="24"/>
                <w:szCs w:val="24"/>
              </w:rPr>
              <w:t>/a</w:t>
            </w:r>
            <w:r>
              <w:rPr>
                <w:rFonts w:hint="eastAsia" w:ascii="Times New Roman" w:hAnsi="Times New Roman" w:cs="Times New Roman"/>
                <w:sz w:val="24"/>
                <w:szCs w:val="24"/>
              </w:rPr>
              <w:t>，生产过程中产生的废包装物</w:t>
            </w:r>
            <w:r>
              <w:rPr>
                <w:rFonts w:ascii="Times New Roman" w:hAnsi="Times New Roman" w:cs="Times New Roman"/>
                <w:sz w:val="24"/>
                <w:szCs w:val="24"/>
              </w:rPr>
              <w:t>约为</w:t>
            </w:r>
            <w:r>
              <w:rPr>
                <w:rFonts w:hint="eastAsia" w:ascii="Times New Roman" w:hAnsi="Times New Roman" w:cs="Times New Roman"/>
                <w:sz w:val="24"/>
                <w:szCs w:val="24"/>
              </w:rPr>
              <w:t>1</w:t>
            </w:r>
            <w:r>
              <w:rPr>
                <w:rFonts w:ascii="Times New Roman" w:hAnsi="Times New Roman" w:cs="Times New Roman"/>
                <w:sz w:val="24"/>
                <w:szCs w:val="24"/>
              </w:rPr>
              <w:t>t/a</w:t>
            </w:r>
            <w:r>
              <w:rPr>
                <w:rFonts w:hint="eastAsia" w:ascii="Times New Roman" w:hAnsi="Times New Roman" w:cs="Times New Roman"/>
                <w:sz w:val="24"/>
                <w:szCs w:val="24"/>
              </w:rPr>
              <w:t>，脉冲式除尘器收集粉尘约为0.045</w:t>
            </w:r>
            <w:r>
              <w:rPr>
                <w:rFonts w:ascii="Times New Roman" w:hAnsi="Times New Roman" w:cs="Times New Roman"/>
                <w:sz w:val="24"/>
                <w:szCs w:val="24"/>
              </w:rPr>
              <w:t xml:space="preserve"> t/a</w:t>
            </w:r>
            <w:r>
              <w:rPr>
                <w:rFonts w:hint="eastAsia" w:ascii="Times New Roman" w:hAnsi="Times New Roman" w:cs="Times New Roman"/>
                <w:sz w:val="24"/>
                <w:szCs w:val="24"/>
              </w:rPr>
              <w:t>，</w:t>
            </w:r>
            <w:r>
              <w:rPr>
                <w:rFonts w:ascii="Times New Roman" w:hAnsi="Times New Roman" w:cs="Times New Roman"/>
                <w:sz w:val="24"/>
                <w:szCs w:val="24"/>
              </w:rPr>
              <w:t>项目拟建1座</w:t>
            </w:r>
            <w:r>
              <w:rPr>
                <w:rFonts w:hint="eastAsia" w:ascii="Times New Roman" w:hAnsi="Times New Roman" w:cs="Times New Roman"/>
                <w:sz w:val="24"/>
                <w:szCs w:val="24"/>
              </w:rPr>
              <w:t>10</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一般固废暂存</w:t>
            </w:r>
            <w:r>
              <w:rPr>
                <w:rFonts w:hint="eastAsia" w:ascii="Times New Roman" w:hAnsi="Times New Roman" w:cs="Times New Roman"/>
                <w:sz w:val="24"/>
                <w:szCs w:val="24"/>
              </w:rPr>
              <w:t>间</w:t>
            </w:r>
            <w:r>
              <w:rPr>
                <w:rFonts w:ascii="Times New Roman" w:hAnsi="Times New Roman" w:cs="Times New Roman"/>
                <w:sz w:val="24"/>
                <w:szCs w:val="24"/>
              </w:rPr>
              <w:t>对</w:t>
            </w:r>
            <w:r>
              <w:rPr>
                <w:rFonts w:hint="eastAsia" w:ascii="Times New Roman" w:hAnsi="Times New Roman" w:cs="Times New Roman"/>
                <w:sz w:val="24"/>
                <w:szCs w:val="24"/>
              </w:rPr>
              <w:t>一般固废</w:t>
            </w:r>
            <w:r>
              <w:rPr>
                <w:rFonts w:ascii="Times New Roman" w:hAnsi="Times New Roman" w:cs="Times New Roman"/>
                <w:sz w:val="24"/>
                <w:szCs w:val="24"/>
              </w:rPr>
              <w:t>暂存后，定期外售；</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生活垃圾</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生活垃圾：</w:t>
            </w:r>
            <w:r>
              <w:rPr>
                <w:rFonts w:ascii="Times New Roman" w:hAnsi="Times New Roman" w:cs="Times New Roman"/>
                <w:bCs/>
                <w:spacing w:val="-4"/>
                <w:sz w:val="24"/>
                <w:szCs w:val="24"/>
              </w:rPr>
              <w:t>项目劳动定员</w:t>
            </w:r>
            <w:r>
              <w:rPr>
                <w:rFonts w:hint="eastAsia" w:ascii="Times New Roman" w:hAnsi="Times New Roman" w:cs="Times New Roman"/>
                <w:bCs/>
                <w:spacing w:val="-4"/>
                <w:sz w:val="24"/>
                <w:szCs w:val="24"/>
              </w:rPr>
              <w:t>30</w:t>
            </w:r>
            <w:r>
              <w:rPr>
                <w:rFonts w:ascii="Times New Roman" w:hAnsi="Times New Roman" w:cs="Times New Roman"/>
                <w:bCs/>
                <w:spacing w:val="-4"/>
                <w:sz w:val="24"/>
                <w:szCs w:val="24"/>
              </w:rPr>
              <w:t>人，</w:t>
            </w:r>
            <w:r>
              <w:rPr>
                <w:rFonts w:ascii="Times New Roman" w:hAnsi="Times New Roman" w:cs="Times New Roman"/>
                <w:sz w:val="24"/>
                <w:szCs w:val="24"/>
              </w:rPr>
              <w:t>生活垃圾产生量按照0.5kg/人·d计算，则职工办公生活垃圾产生量为</w:t>
            </w:r>
            <w:r>
              <w:rPr>
                <w:rFonts w:hint="eastAsia" w:ascii="Times New Roman" w:hAnsi="Times New Roman" w:cs="Times New Roman"/>
                <w:sz w:val="24"/>
                <w:szCs w:val="24"/>
              </w:rPr>
              <w:t xml:space="preserve">4.5 </w:t>
            </w:r>
            <w:r>
              <w:rPr>
                <w:rFonts w:ascii="Times New Roman" w:hAnsi="Times New Roman" w:cs="Times New Roman"/>
                <w:sz w:val="24"/>
                <w:szCs w:val="24"/>
              </w:rPr>
              <w:t>t/a，交由环卫部门统一清运。</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rPr>
              <w:t>3</w:t>
            </w:r>
            <w:r>
              <w:rPr>
                <w:rFonts w:ascii="Times New Roman" w:hAnsi="Times New Roman" w:cs="Times New Roman"/>
                <w:sz w:val="24"/>
                <w:szCs w:val="24"/>
              </w:rPr>
              <w:t>）危险废物</w:t>
            </w:r>
          </w:p>
          <w:p>
            <w:pPr>
              <w:widowControl/>
              <w:adjustRightInd w:val="0"/>
              <w:snapToGrid w:val="0"/>
              <w:spacing w:line="360" w:lineRule="auto"/>
              <w:ind w:firstLine="480" w:firstLineChars="200"/>
              <w:jc w:val="left"/>
              <w:rPr>
                <w:rFonts w:ascii="Times New Roman" w:hAnsi="Times New Roman" w:cs="Times New Roman"/>
                <w:color w:val="000000"/>
                <w:kern w:val="0"/>
                <w:sz w:val="24"/>
                <w:szCs w:val="24"/>
              </w:rPr>
            </w:pPr>
            <w:r>
              <w:rPr>
                <w:rFonts w:ascii="Times New Roman" w:hAnsi="Times New Roman" w:cs="Times New Roman"/>
                <w:kern w:val="0"/>
                <w:sz w:val="24"/>
                <w:szCs w:val="24"/>
              </w:rPr>
              <w:t>废液压油、废润滑油：</w:t>
            </w:r>
            <w:r>
              <w:rPr>
                <w:rFonts w:ascii="Times New Roman" w:hAnsi="Times New Roman" w:cs="Times New Roman"/>
                <w:color w:val="000000"/>
                <w:kern w:val="0"/>
                <w:sz w:val="24"/>
                <w:szCs w:val="24"/>
              </w:rPr>
              <w:t>项目机械设备生产过程中需使用液压油及润滑油，液压油及润滑油长时间使用后均会产生杂质，影响设备工作性能，需定期更换。根据企业提供的资料，液压油更换量约为0.</w:t>
            </w:r>
            <w:r>
              <w:rPr>
                <w:rFonts w:hint="eastAsia" w:ascii="Times New Roman" w:hAnsi="Times New Roman" w:cs="Times New Roman"/>
                <w:color w:val="000000"/>
                <w:kern w:val="0"/>
                <w:sz w:val="24"/>
                <w:szCs w:val="24"/>
              </w:rPr>
              <w:t>05</w:t>
            </w:r>
            <w:r>
              <w:rPr>
                <w:rFonts w:ascii="Times New Roman" w:hAnsi="Times New Roman" w:cs="Times New Roman"/>
                <w:color w:val="000000"/>
                <w:kern w:val="0"/>
                <w:sz w:val="24"/>
                <w:szCs w:val="24"/>
              </w:rPr>
              <w:t>t/a，润滑油更换量为0.</w:t>
            </w:r>
            <w:r>
              <w:rPr>
                <w:rFonts w:hint="eastAsia" w:ascii="Times New Roman" w:hAnsi="Times New Roman" w:cs="Times New Roman"/>
                <w:color w:val="000000"/>
                <w:kern w:val="0"/>
                <w:sz w:val="24"/>
                <w:szCs w:val="24"/>
              </w:rPr>
              <w:t>03</w:t>
            </w:r>
            <w:r>
              <w:rPr>
                <w:rFonts w:ascii="Times New Roman" w:hAnsi="Times New Roman" w:cs="Times New Roman"/>
                <w:color w:val="000000"/>
                <w:kern w:val="0"/>
                <w:sz w:val="24"/>
                <w:szCs w:val="24"/>
              </w:rPr>
              <w:t>t/a</w:t>
            </w:r>
            <w:r>
              <w:rPr>
                <w:rFonts w:hint="eastAsia" w:ascii="Times New Roman" w:hAnsi="Times New Roman" w:cs="Times New Roman"/>
                <w:color w:val="000000"/>
                <w:kern w:val="0"/>
                <w:sz w:val="24"/>
                <w:szCs w:val="24"/>
              </w:rPr>
              <w:t>。根据《国家危险废物名录》（2016 年版）规定，废液压油属于“HW08 废矿物油与含矿物油废物”中的“</w:t>
            </w:r>
            <w:r>
              <w:rPr>
                <w:rFonts w:ascii="Times New Roman" w:hAnsi="Times New Roman" w:cs="Times New Roman"/>
                <w:color w:val="000000"/>
                <w:kern w:val="0"/>
                <w:sz w:val="24"/>
                <w:szCs w:val="24"/>
              </w:rPr>
              <w:t>900-218-08</w:t>
            </w:r>
            <w:r>
              <w:rPr>
                <w:rFonts w:hint="eastAsia" w:ascii="Times New Roman" w:hAnsi="Times New Roman" w:cs="Times New Roman"/>
                <w:color w:val="000000"/>
                <w:kern w:val="0"/>
                <w:sz w:val="24"/>
                <w:szCs w:val="24"/>
              </w:rPr>
              <w:t xml:space="preserve"> 液压设备维护、更换和拆解过程中产生的废液压油”类危险废物；废润滑油属于“HW08 废矿物油与含矿物油废物”中的“900-249-08其他生产、销售、使用过程中产生的废矿物油及含矿物油废物”。</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废油桶：</w:t>
            </w:r>
            <w:r>
              <w:rPr>
                <w:rFonts w:ascii="Times New Roman" w:hAnsi="Times New Roman" w:cs="Times New Roman"/>
                <w:kern w:val="0"/>
                <w:sz w:val="24"/>
                <w:szCs w:val="24"/>
              </w:rPr>
              <w:t>废液压油、废润滑油</w:t>
            </w:r>
            <w:r>
              <w:rPr>
                <w:rFonts w:hint="eastAsia" w:ascii="Times New Roman" w:hAnsi="Times New Roman" w:cs="Times New Roman"/>
                <w:kern w:val="0"/>
                <w:sz w:val="24"/>
                <w:szCs w:val="24"/>
              </w:rPr>
              <w:t>包装桶即为本项目废油桶，</w:t>
            </w:r>
            <w:r>
              <w:rPr>
                <w:rFonts w:hint="eastAsia" w:ascii="Times New Roman" w:hAnsi="Times New Roman" w:cs="Times New Roman"/>
                <w:color w:val="000000"/>
                <w:kern w:val="0"/>
                <w:sz w:val="24"/>
                <w:szCs w:val="24"/>
              </w:rPr>
              <w:t xml:space="preserve">根据《国家危险废物名录》（2016 年版）规定，废油桶属于“HW49 </w:t>
            </w:r>
            <w:r>
              <w:rPr>
                <w:rFonts w:hint="eastAsia"/>
                <w:sz w:val="24"/>
                <w:szCs w:val="24"/>
              </w:rPr>
              <w:t>其它废物</w:t>
            </w:r>
            <w:r>
              <w:rPr>
                <w:rFonts w:hint="eastAsia" w:ascii="Times New Roman" w:hAnsi="Times New Roman" w:cs="Times New Roman"/>
                <w:color w:val="000000"/>
                <w:kern w:val="0"/>
                <w:sz w:val="24"/>
                <w:szCs w:val="24"/>
              </w:rPr>
              <w:t>”中的“</w:t>
            </w:r>
            <w:r>
              <w:rPr>
                <w:rFonts w:ascii="Times New Roman" w:hAnsi="Times New Roman" w:cs="Times New Roman"/>
                <w:color w:val="000000"/>
                <w:kern w:val="0"/>
                <w:sz w:val="24"/>
                <w:szCs w:val="24"/>
              </w:rPr>
              <w:t>900-</w:t>
            </w:r>
            <w:r>
              <w:rPr>
                <w:rFonts w:hint="eastAsia" w:ascii="Times New Roman" w:hAnsi="Times New Roman" w:cs="Times New Roman"/>
                <w:color w:val="000000"/>
                <w:kern w:val="0"/>
                <w:sz w:val="24"/>
                <w:szCs w:val="24"/>
              </w:rPr>
              <w:t>041</w:t>
            </w:r>
            <w:r>
              <w:rPr>
                <w:rFonts w:ascii="Times New Roman" w:hAnsi="Times New Roman" w:cs="Times New Roman"/>
                <w:color w:val="000000"/>
                <w:kern w:val="0"/>
                <w:sz w:val="24"/>
                <w:szCs w:val="24"/>
              </w:rPr>
              <w:t>-</w:t>
            </w:r>
            <w:r>
              <w:rPr>
                <w:rFonts w:hint="eastAsia" w:ascii="Times New Roman" w:hAnsi="Times New Roman" w:cs="Times New Roman"/>
                <w:color w:val="000000"/>
                <w:kern w:val="0"/>
                <w:sz w:val="24"/>
                <w:szCs w:val="24"/>
              </w:rPr>
              <w:t xml:space="preserve">49 </w:t>
            </w:r>
            <w:r>
              <w:rPr>
                <w:rFonts w:hint="eastAsia"/>
                <w:sz w:val="24"/>
                <w:szCs w:val="24"/>
              </w:rPr>
              <w:t>有或沾染毒性、感染性危险废物的废弃包装物、容器、过滤吸附介质</w:t>
            </w:r>
            <w:r>
              <w:rPr>
                <w:rFonts w:hint="eastAsia" w:ascii="Times New Roman" w:hAnsi="Times New Roman" w:cs="Times New Roman"/>
                <w:color w:val="000000"/>
                <w:kern w:val="0"/>
                <w:sz w:val="24"/>
                <w:szCs w:val="24"/>
              </w:rPr>
              <w:t>”，项目使用的液压油、润滑油包装规格为2kg，则最大产生量为400个。</w:t>
            </w:r>
          </w:p>
          <w:p>
            <w:pPr>
              <w:widowControl/>
              <w:adjustRightInd w:val="0"/>
              <w:snapToGrid w:val="0"/>
              <w:spacing w:line="360" w:lineRule="auto"/>
              <w:ind w:firstLine="464" w:firstLineChars="200"/>
              <w:jc w:val="left"/>
              <w:rPr>
                <w:rFonts w:ascii="Times New Roman" w:hAnsi="Times New Roman" w:cs="Times New Roman"/>
                <w:color w:val="000000"/>
                <w:spacing w:val="-4"/>
                <w:kern w:val="0"/>
                <w:sz w:val="24"/>
                <w:szCs w:val="24"/>
              </w:rPr>
            </w:pPr>
            <w:r>
              <w:rPr>
                <w:rFonts w:ascii="Times New Roman" w:hAnsi="Times New Roman" w:cs="Times New Roman"/>
                <w:color w:val="000000"/>
                <w:spacing w:val="-4"/>
                <w:kern w:val="0"/>
                <w:sz w:val="24"/>
                <w:szCs w:val="24"/>
              </w:rPr>
              <w:t>危险废物汇总详见表</w:t>
            </w:r>
            <w:r>
              <w:rPr>
                <w:rFonts w:hint="eastAsia" w:ascii="Times New Roman" w:hAnsi="Times New Roman" w:cs="Times New Roman"/>
                <w:color w:val="000000"/>
                <w:spacing w:val="-4"/>
                <w:kern w:val="0"/>
                <w:sz w:val="24"/>
                <w:szCs w:val="24"/>
              </w:rPr>
              <w:t>48</w:t>
            </w:r>
            <w:r>
              <w:rPr>
                <w:rFonts w:ascii="Times New Roman" w:hAnsi="Times New Roman" w:cs="Times New Roman"/>
                <w:color w:val="000000"/>
                <w:spacing w:val="-4"/>
                <w:kern w:val="0"/>
                <w:sz w:val="24"/>
                <w:szCs w:val="24"/>
              </w:rPr>
              <w:t>。工程固废产生及处置情况</w:t>
            </w:r>
            <w:r>
              <w:rPr>
                <w:rFonts w:hint="eastAsia" w:ascii="Times New Roman" w:hAnsi="Times New Roman" w:cs="Times New Roman"/>
                <w:color w:val="000000"/>
                <w:spacing w:val="-4"/>
                <w:kern w:val="0"/>
                <w:sz w:val="24"/>
                <w:szCs w:val="24"/>
              </w:rPr>
              <w:t>见表49。</w:t>
            </w:r>
          </w:p>
          <w:p>
            <w:pPr>
              <w:pStyle w:val="10"/>
              <w:adjustRightInd w:val="0"/>
              <w:snapToGrid w:val="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48</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项目危险废物汇总</w:t>
            </w:r>
          </w:p>
          <w:tbl>
            <w:tblPr>
              <w:tblStyle w:val="28"/>
              <w:tblW w:w="85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950"/>
              <w:gridCol w:w="1112"/>
              <w:gridCol w:w="1114"/>
              <w:gridCol w:w="766"/>
              <w:gridCol w:w="823"/>
              <w:gridCol w:w="419"/>
              <w:gridCol w:w="548"/>
              <w:gridCol w:w="7"/>
              <w:gridCol w:w="555"/>
              <w:gridCol w:w="552"/>
              <w:gridCol w:w="552"/>
              <w:gridCol w:w="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序号</w:t>
                  </w:r>
                </w:p>
              </w:tc>
              <w:tc>
                <w:tcPr>
                  <w:tcW w:w="950"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危险废物名称</w:t>
                  </w:r>
                </w:p>
              </w:tc>
              <w:tc>
                <w:tcPr>
                  <w:tcW w:w="1112"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危险废物类别</w:t>
                  </w:r>
                </w:p>
              </w:tc>
              <w:tc>
                <w:tcPr>
                  <w:tcW w:w="1114"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危险废物代码</w:t>
                  </w:r>
                </w:p>
              </w:tc>
              <w:tc>
                <w:tcPr>
                  <w:tcW w:w="766"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产生量</w:t>
                  </w:r>
                </w:p>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（t/a）</w:t>
                  </w:r>
                </w:p>
              </w:tc>
              <w:tc>
                <w:tcPr>
                  <w:tcW w:w="823" w:type="dxa"/>
                  <w:tcBorders>
                    <w:tl2br w:val="nil"/>
                    <w:tr2bl w:val="nil"/>
                  </w:tcBorders>
                  <w:vAlign w:val="center"/>
                </w:tcPr>
                <w:p>
                  <w:pPr>
                    <w:widowControl/>
                    <w:topLinePunct/>
                    <w:adjustRightInd w:val="0"/>
                    <w:snapToGrid w:val="0"/>
                    <w:spacing w:line="288" w:lineRule="auto"/>
                    <w:ind w:left="29" w:leftChars="-61" w:right="-106" w:rightChars="-38" w:hanging="200" w:hangingChars="95"/>
                    <w:jc w:val="center"/>
                    <w:rPr>
                      <w:rFonts w:ascii="Times New Roman" w:hAnsi="Times New Roman" w:cs="Times New Roman"/>
                      <w:b/>
                      <w:bCs/>
                      <w:kern w:val="0"/>
                      <w:sz w:val="21"/>
                      <w:szCs w:val="21"/>
                    </w:rPr>
                  </w:pPr>
                  <w:r>
                    <w:rPr>
                      <w:rFonts w:ascii="Times New Roman" w:hAnsi="Times New Roman" w:cs="Times New Roman"/>
                      <w:b/>
                      <w:bCs/>
                      <w:kern w:val="0"/>
                      <w:sz w:val="21"/>
                      <w:szCs w:val="21"/>
                    </w:rPr>
                    <w:t>产生工序</w:t>
                  </w:r>
                </w:p>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及装置</w:t>
                  </w:r>
                </w:p>
              </w:tc>
              <w:tc>
                <w:tcPr>
                  <w:tcW w:w="419"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形态</w:t>
                  </w:r>
                </w:p>
              </w:tc>
              <w:tc>
                <w:tcPr>
                  <w:tcW w:w="555" w:type="dxa"/>
                  <w:gridSpan w:val="2"/>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主要</w:t>
                  </w:r>
                </w:p>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成分</w:t>
                  </w:r>
                </w:p>
              </w:tc>
              <w:tc>
                <w:tcPr>
                  <w:tcW w:w="555"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有害</w:t>
                  </w:r>
                </w:p>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成分</w:t>
                  </w:r>
                </w:p>
              </w:tc>
              <w:tc>
                <w:tcPr>
                  <w:tcW w:w="552" w:type="dxa"/>
                  <w:tcBorders>
                    <w:tl2br w:val="nil"/>
                    <w:tr2bl w:val="nil"/>
                  </w:tcBorders>
                  <w:vAlign w:val="center"/>
                </w:tcPr>
                <w:p>
                  <w:pPr>
                    <w:widowControl/>
                    <w:topLinePunct/>
                    <w:adjustRightInd w:val="0"/>
                    <w:snapToGrid w:val="0"/>
                    <w:spacing w:line="288" w:lineRule="auto"/>
                    <w:ind w:left="18" w:leftChars="-41" w:right="-123" w:rightChars="-44" w:hanging="133" w:hangingChars="63"/>
                    <w:jc w:val="center"/>
                    <w:rPr>
                      <w:rFonts w:ascii="Times New Roman" w:hAnsi="Times New Roman" w:cs="Times New Roman"/>
                      <w:b/>
                      <w:bCs/>
                      <w:kern w:val="0"/>
                      <w:sz w:val="21"/>
                      <w:szCs w:val="21"/>
                    </w:rPr>
                  </w:pPr>
                  <w:r>
                    <w:rPr>
                      <w:rFonts w:ascii="Times New Roman" w:hAnsi="Times New Roman" w:cs="Times New Roman"/>
                      <w:b/>
                      <w:bCs/>
                      <w:kern w:val="0"/>
                      <w:sz w:val="21"/>
                      <w:szCs w:val="21"/>
                    </w:rPr>
                    <w:t>产废</w:t>
                  </w:r>
                </w:p>
                <w:p>
                  <w:pPr>
                    <w:widowControl/>
                    <w:topLinePunct/>
                    <w:adjustRightInd w:val="0"/>
                    <w:snapToGrid w:val="0"/>
                    <w:spacing w:line="288" w:lineRule="auto"/>
                    <w:ind w:left="18" w:leftChars="-41" w:right="-123" w:rightChars="-44" w:hanging="133" w:hangingChars="63"/>
                    <w:jc w:val="center"/>
                    <w:rPr>
                      <w:rFonts w:ascii="Times New Roman" w:hAnsi="Times New Roman" w:cs="Times New Roman"/>
                      <w:b/>
                      <w:bCs/>
                      <w:kern w:val="0"/>
                      <w:sz w:val="21"/>
                      <w:szCs w:val="21"/>
                    </w:rPr>
                  </w:pPr>
                  <w:r>
                    <w:rPr>
                      <w:rFonts w:ascii="Times New Roman" w:hAnsi="Times New Roman" w:cs="Times New Roman"/>
                      <w:b/>
                      <w:bCs/>
                      <w:kern w:val="0"/>
                      <w:sz w:val="21"/>
                      <w:szCs w:val="21"/>
                    </w:rPr>
                    <w:t>周期</w:t>
                  </w:r>
                </w:p>
              </w:tc>
              <w:tc>
                <w:tcPr>
                  <w:tcW w:w="552" w:type="dxa"/>
                  <w:tcBorders>
                    <w:tl2br w:val="nil"/>
                    <w:tr2bl w:val="nil"/>
                  </w:tcBorders>
                  <w:vAlign w:val="center"/>
                </w:tcPr>
                <w:p>
                  <w:pPr>
                    <w:widowControl/>
                    <w:topLinePunct/>
                    <w:adjustRightInd w:val="0"/>
                    <w:snapToGrid w:val="0"/>
                    <w:spacing w:line="288" w:lineRule="auto"/>
                    <w:ind w:left="18" w:leftChars="-41" w:right="-123" w:rightChars="-44" w:hanging="133" w:hangingChars="63"/>
                    <w:jc w:val="center"/>
                    <w:rPr>
                      <w:rFonts w:ascii="Times New Roman" w:hAnsi="Times New Roman" w:cs="Times New Roman"/>
                      <w:b/>
                      <w:bCs/>
                      <w:kern w:val="0"/>
                      <w:sz w:val="21"/>
                      <w:szCs w:val="21"/>
                    </w:rPr>
                  </w:pPr>
                  <w:r>
                    <w:rPr>
                      <w:rFonts w:ascii="Times New Roman" w:hAnsi="Times New Roman" w:cs="Times New Roman"/>
                      <w:b/>
                      <w:bCs/>
                      <w:kern w:val="0"/>
                      <w:sz w:val="21"/>
                      <w:szCs w:val="21"/>
                    </w:rPr>
                    <w:t>危险</w:t>
                  </w:r>
                </w:p>
                <w:p>
                  <w:pPr>
                    <w:widowControl/>
                    <w:topLinePunct/>
                    <w:adjustRightInd w:val="0"/>
                    <w:snapToGrid w:val="0"/>
                    <w:spacing w:line="288" w:lineRule="auto"/>
                    <w:ind w:left="18" w:leftChars="-41" w:right="-123" w:rightChars="-44" w:hanging="133" w:hangingChars="63"/>
                    <w:jc w:val="center"/>
                    <w:rPr>
                      <w:rFonts w:ascii="Times New Roman" w:hAnsi="Times New Roman" w:cs="Times New Roman"/>
                      <w:b/>
                      <w:bCs/>
                      <w:kern w:val="0"/>
                      <w:sz w:val="21"/>
                      <w:szCs w:val="21"/>
                    </w:rPr>
                  </w:pPr>
                  <w:r>
                    <w:rPr>
                      <w:rFonts w:ascii="Times New Roman" w:hAnsi="Times New Roman" w:cs="Times New Roman"/>
                      <w:b/>
                      <w:bCs/>
                      <w:kern w:val="0"/>
                      <w:sz w:val="21"/>
                      <w:szCs w:val="21"/>
                    </w:rPr>
                    <w:t>特性</w:t>
                  </w:r>
                </w:p>
              </w:tc>
              <w:tc>
                <w:tcPr>
                  <w:tcW w:w="761"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950"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ascii="Times New Roman" w:hAnsi="Times New Roman" w:cs="Times New Roman"/>
                      <w:kern w:val="0"/>
                      <w:sz w:val="21"/>
                      <w:szCs w:val="21"/>
                    </w:rPr>
                    <w:t>废液压油</w:t>
                  </w:r>
                </w:p>
              </w:tc>
              <w:tc>
                <w:tcPr>
                  <w:tcW w:w="1112" w:type="dxa"/>
                  <w:vMerge w:val="restart"/>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HW08（废矿物油与含矿物油废物）</w:t>
                  </w:r>
                </w:p>
              </w:tc>
              <w:tc>
                <w:tcPr>
                  <w:tcW w:w="1114"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ascii="Times New Roman" w:hAnsi="Times New Roman" w:cs="Times New Roman"/>
                      <w:kern w:val="0"/>
                      <w:sz w:val="21"/>
                      <w:szCs w:val="21"/>
                    </w:rPr>
                    <w:t>900-218-08</w:t>
                  </w:r>
                </w:p>
              </w:tc>
              <w:tc>
                <w:tcPr>
                  <w:tcW w:w="766"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0.</w:t>
                  </w:r>
                  <w:r>
                    <w:rPr>
                      <w:rFonts w:hint="eastAsia" w:ascii="Times New Roman" w:hAnsi="Times New Roman" w:cs="Times New Roman"/>
                      <w:kern w:val="0"/>
                      <w:sz w:val="21"/>
                      <w:szCs w:val="21"/>
                    </w:rPr>
                    <w:t>05</w:t>
                  </w:r>
                </w:p>
              </w:tc>
              <w:tc>
                <w:tcPr>
                  <w:tcW w:w="823" w:type="dxa"/>
                  <w:vMerge w:val="restart"/>
                  <w:tcBorders>
                    <w:tl2br w:val="nil"/>
                    <w:tr2bl w:val="nil"/>
                  </w:tcBorders>
                  <w:vAlign w:val="center"/>
                </w:tcPr>
                <w:p>
                  <w:pPr>
                    <w:widowControl/>
                    <w:topLinePunct/>
                    <w:adjustRightInd w:val="0"/>
                    <w:snapToGrid w:val="0"/>
                    <w:spacing w:line="288" w:lineRule="auto"/>
                    <w:jc w:val="center"/>
                    <w:rPr>
                      <w:rFonts w:ascii="Times New Roman" w:hAnsi="Times New Roman" w:cs="Times New Roman"/>
                      <w:spacing w:val="-6"/>
                      <w:kern w:val="0"/>
                      <w:sz w:val="21"/>
                      <w:szCs w:val="21"/>
                    </w:rPr>
                  </w:pPr>
                  <w:r>
                    <w:rPr>
                      <w:rFonts w:ascii="Times New Roman" w:hAnsi="Times New Roman" w:cs="Times New Roman"/>
                      <w:spacing w:val="-6"/>
                      <w:kern w:val="0"/>
                      <w:sz w:val="21"/>
                      <w:szCs w:val="21"/>
                    </w:rPr>
                    <w:t>机械设备</w:t>
                  </w:r>
                </w:p>
              </w:tc>
              <w:tc>
                <w:tcPr>
                  <w:tcW w:w="419"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ascii="Times New Roman" w:hAnsi="Times New Roman" w:cs="Times New Roman"/>
                      <w:kern w:val="0"/>
                      <w:sz w:val="21"/>
                      <w:szCs w:val="21"/>
                    </w:rPr>
                    <w:t>液态</w:t>
                  </w:r>
                </w:p>
              </w:tc>
              <w:tc>
                <w:tcPr>
                  <w:tcW w:w="548"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油类</w:t>
                  </w:r>
                </w:p>
              </w:tc>
              <w:tc>
                <w:tcPr>
                  <w:tcW w:w="562" w:type="dxa"/>
                  <w:gridSpan w:val="2"/>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油类</w:t>
                  </w:r>
                </w:p>
              </w:tc>
              <w:tc>
                <w:tcPr>
                  <w:tcW w:w="552" w:type="dxa"/>
                  <w:tcBorders>
                    <w:tl2br w:val="nil"/>
                    <w:tr2bl w:val="nil"/>
                  </w:tcBorders>
                  <w:vAlign w:val="center"/>
                </w:tcPr>
                <w:p>
                  <w:pPr>
                    <w:widowControl/>
                    <w:topLinePunct/>
                    <w:adjustRightInd w:val="0"/>
                    <w:snapToGrid w:val="0"/>
                    <w:spacing w:line="288" w:lineRule="auto"/>
                    <w:ind w:left="17" w:leftChars="-41" w:right="-123" w:rightChars="-44" w:hanging="132" w:hangingChars="63"/>
                    <w:jc w:val="center"/>
                    <w:rPr>
                      <w:rFonts w:ascii="Times New Roman" w:hAnsi="Times New Roman" w:cs="Times New Roman"/>
                      <w:kern w:val="0"/>
                      <w:sz w:val="21"/>
                      <w:szCs w:val="21"/>
                    </w:rPr>
                  </w:pPr>
                  <w:r>
                    <w:rPr>
                      <w:rFonts w:hint="eastAsia" w:ascii="Times New Roman" w:hAnsi="Times New Roman" w:cs="Times New Roman"/>
                      <w:kern w:val="0"/>
                      <w:sz w:val="21"/>
                      <w:szCs w:val="21"/>
                    </w:rPr>
                    <w:t>6个月</w:t>
                  </w:r>
                </w:p>
              </w:tc>
              <w:tc>
                <w:tcPr>
                  <w:tcW w:w="552" w:type="dxa"/>
                  <w:tcBorders>
                    <w:tl2br w:val="nil"/>
                    <w:tr2bl w:val="nil"/>
                  </w:tcBorders>
                  <w:vAlign w:val="center"/>
                </w:tcPr>
                <w:p>
                  <w:pPr>
                    <w:widowControl/>
                    <w:topLinePunct/>
                    <w:adjustRightInd w:val="0"/>
                    <w:snapToGrid w:val="0"/>
                    <w:spacing w:line="288" w:lineRule="auto"/>
                    <w:ind w:left="17" w:leftChars="-41" w:right="-123" w:rightChars="-44" w:hanging="132" w:hangingChars="63"/>
                    <w:jc w:val="center"/>
                    <w:rPr>
                      <w:rFonts w:ascii="Times New Roman" w:hAnsi="Times New Roman" w:cs="Times New Roman"/>
                      <w:kern w:val="0"/>
                      <w:sz w:val="21"/>
                      <w:szCs w:val="21"/>
                    </w:rPr>
                  </w:pPr>
                  <w:r>
                    <w:rPr>
                      <w:rFonts w:ascii="Times New Roman" w:hAnsi="Times New Roman" w:cs="Times New Roman"/>
                      <w:kern w:val="0"/>
                      <w:sz w:val="21"/>
                      <w:szCs w:val="21"/>
                    </w:rPr>
                    <w:t>T，I</w:t>
                  </w:r>
                </w:p>
              </w:tc>
              <w:tc>
                <w:tcPr>
                  <w:tcW w:w="761" w:type="dxa"/>
                  <w:vMerge w:val="restart"/>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危险废物暂存间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950"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ascii="Times New Roman" w:hAnsi="Times New Roman" w:cs="Times New Roman"/>
                      <w:kern w:val="0"/>
                      <w:sz w:val="21"/>
                      <w:szCs w:val="21"/>
                    </w:rPr>
                    <w:t>废润滑油</w:t>
                  </w:r>
                </w:p>
              </w:tc>
              <w:tc>
                <w:tcPr>
                  <w:tcW w:w="1112" w:type="dxa"/>
                  <w:vMerge w:val="continue"/>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p>
              </w:tc>
              <w:tc>
                <w:tcPr>
                  <w:tcW w:w="1114"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hint="eastAsia" w:ascii="Times New Roman" w:hAnsi="Times New Roman" w:cs="Times New Roman"/>
                      <w:kern w:val="0"/>
                      <w:sz w:val="21"/>
                      <w:szCs w:val="21"/>
                    </w:rPr>
                    <w:t>900-249-08</w:t>
                  </w:r>
                </w:p>
              </w:tc>
              <w:tc>
                <w:tcPr>
                  <w:tcW w:w="766"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0.</w:t>
                  </w:r>
                  <w:r>
                    <w:rPr>
                      <w:rFonts w:hint="eastAsia" w:ascii="Times New Roman" w:hAnsi="Times New Roman" w:cs="Times New Roman"/>
                      <w:kern w:val="0"/>
                      <w:sz w:val="21"/>
                      <w:szCs w:val="21"/>
                    </w:rPr>
                    <w:t>03</w:t>
                  </w:r>
                </w:p>
              </w:tc>
              <w:tc>
                <w:tcPr>
                  <w:tcW w:w="823" w:type="dxa"/>
                  <w:vMerge w:val="continue"/>
                  <w:tcBorders>
                    <w:tl2br w:val="nil"/>
                    <w:tr2bl w:val="nil"/>
                  </w:tcBorders>
                  <w:vAlign w:val="center"/>
                </w:tcPr>
                <w:p>
                  <w:pPr>
                    <w:widowControl/>
                    <w:adjustRightInd w:val="0"/>
                    <w:snapToGrid w:val="0"/>
                    <w:spacing w:line="288" w:lineRule="auto"/>
                    <w:jc w:val="left"/>
                    <w:rPr>
                      <w:rFonts w:ascii="Times New Roman" w:hAnsi="Times New Roman" w:cs="Times New Roman"/>
                      <w:spacing w:val="-6"/>
                      <w:kern w:val="0"/>
                      <w:sz w:val="21"/>
                      <w:szCs w:val="21"/>
                    </w:rPr>
                  </w:pPr>
                </w:p>
              </w:tc>
              <w:tc>
                <w:tcPr>
                  <w:tcW w:w="419"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ascii="Times New Roman" w:hAnsi="Times New Roman" w:cs="Times New Roman"/>
                      <w:kern w:val="0"/>
                      <w:sz w:val="21"/>
                      <w:szCs w:val="21"/>
                    </w:rPr>
                    <w:t>液态</w:t>
                  </w:r>
                </w:p>
              </w:tc>
              <w:tc>
                <w:tcPr>
                  <w:tcW w:w="548"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油类</w:t>
                  </w:r>
                </w:p>
              </w:tc>
              <w:tc>
                <w:tcPr>
                  <w:tcW w:w="562" w:type="dxa"/>
                  <w:gridSpan w:val="2"/>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油类</w:t>
                  </w:r>
                </w:p>
              </w:tc>
              <w:tc>
                <w:tcPr>
                  <w:tcW w:w="552" w:type="dxa"/>
                  <w:tcBorders>
                    <w:tl2br w:val="nil"/>
                    <w:tr2bl w:val="nil"/>
                  </w:tcBorders>
                  <w:vAlign w:val="center"/>
                </w:tcPr>
                <w:p>
                  <w:pPr>
                    <w:widowControl/>
                    <w:topLinePunct/>
                    <w:adjustRightInd w:val="0"/>
                    <w:snapToGrid w:val="0"/>
                    <w:spacing w:line="288" w:lineRule="auto"/>
                    <w:ind w:left="17" w:leftChars="-41" w:right="-123" w:rightChars="-44" w:hanging="132" w:hangingChars="63"/>
                    <w:jc w:val="center"/>
                    <w:rPr>
                      <w:rFonts w:ascii="Times New Roman" w:hAnsi="Times New Roman" w:cs="Times New Roman"/>
                      <w:kern w:val="0"/>
                      <w:sz w:val="21"/>
                      <w:szCs w:val="21"/>
                    </w:rPr>
                  </w:pPr>
                  <w:r>
                    <w:rPr>
                      <w:rFonts w:hint="eastAsia" w:ascii="Times New Roman" w:hAnsi="Times New Roman" w:cs="Times New Roman"/>
                      <w:kern w:val="0"/>
                      <w:sz w:val="21"/>
                      <w:szCs w:val="21"/>
                    </w:rPr>
                    <w:t>6个月</w:t>
                  </w:r>
                </w:p>
              </w:tc>
              <w:tc>
                <w:tcPr>
                  <w:tcW w:w="552" w:type="dxa"/>
                  <w:tcBorders>
                    <w:tl2br w:val="nil"/>
                    <w:tr2bl w:val="nil"/>
                  </w:tcBorders>
                  <w:vAlign w:val="center"/>
                </w:tcPr>
                <w:p>
                  <w:pPr>
                    <w:widowControl/>
                    <w:topLinePunct/>
                    <w:adjustRightInd w:val="0"/>
                    <w:snapToGrid w:val="0"/>
                    <w:spacing w:line="288" w:lineRule="auto"/>
                    <w:ind w:left="17" w:leftChars="-41" w:right="-123" w:rightChars="-44" w:hanging="132" w:hangingChars="63"/>
                    <w:jc w:val="center"/>
                    <w:rPr>
                      <w:rFonts w:ascii="Times New Roman" w:hAnsi="Times New Roman" w:cs="Times New Roman"/>
                      <w:kern w:val="0"/>
                      <w:sz w:val="21"/>
                      <w:szCs w:val="21"/>
                    </w:rPr>
                  </w:pPr>
                  <w:r>
                    <w:rPr>
                      <w:rFonts w:ascii="Times New Roman" w:hAnsi="Times New Roman" w:cs="Times New Roman"/>
                      <w:kern w:val="0"/>
                      <w:sz w:val="21"/>
                      <w:szCs w:val="21"/>
                    </w:rPr>
                    <w:t>T，I</w:t>
                  </w:r>
                </w:p>
              </w:tc>
              <w:tc>
                <w:tcPr>
                  <w:tcW w:w="761" w:type="dxa"/>
                  <w:vMerge w:val="continue"/>
                  <w:tcBorders>
                    <w:tl2br w:val="nil"/>
                    <w:tr2bl w:val="nil"/>
                  </w:tcBorders>
                  <w:vAlign w:val="center"/>
                </w:tcPr>
                <w:p>
                  <w:pPr>
                    <w:widowControl/>
                    <w:adjustRightInd w:val="0"/>
                    <w:snapToGrid w:val="0"/>
                    <w:spacing w:line="288" w:lineRule="auto"/>
                    <w:jc w:val="left"/>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3</w:t>
                  </w:r>
                </w:p>
              </w:tc>
              <w:tc>
                <w:tcPr>
                  <w:tcW w:w="950"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ascii="Times New Roman" w:hAnsi="Times New Roman" w:cs="Times New Roman"/>
                      <w:kern w:val="0"/>
                      <w:sz w:val="21"/>
                      <w:szCs w:val="21"/>
                    </w:rPr>
                    <w:t>废</w:t>
                  </w:r>
                  <w:r>
                    <w:rPr>
                      <w:rFonts w:hint="eastAsia" w:ascii="Times New Roman" w:hAnsi="Times New Roman" w:cs="Times New Roman"/>
                      <w:kern w:val="0"/>
                      <w:sz w:val="21"/>
                      <w:szCs w:val="21"/>
                    </w:rPr>
                    <w:t>油</w:t>
                  </w:r>
                  <w:r>
                    <w:rPr>
                      <w:rFonts w:ascii="Times New Roman" w:hAnsi="Times New Roman" w:cs="Times New Roman"/>
                      <w:kern w:val="0"/>
                      <w:sz w:val="21"/>
                      <w:szCs w:val="21"/>
                    </w:rPr>
                    <w:t>桶</w:t>
                  </w:r>
                </w:p>
              </w:tc>
              <w:tc>
                <w:tcPr>
                  <w:tcW w:w="1112"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HW49 其它废物</w:t>
                  </w:r>
                </w:p>
              </w:tc>
              <w:tc>
                <w:tcPr>
                  <w:tcW w:w="1114"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hint="eastAsia" w:ascii="Times New Roman" w:hAnsi="Times New Roman" w:cs="Times New Roman"/>
                      <w:kern w:val="0"/>
                      <w:sz w:val="21"/>
                      <w:szCs w:val="21"/>
                    </w:rPr>
                    <w:t>900-041-49</w:t>
                  </w:r>
                </w:p>
              </w:tc>
              <w:tc>
                <w:tcPr>
                  <w:tcW w:w="766"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400个</w:t>
                  </w:r>
                </w:p>
              </w:tc>
              <w:tc>
                <w:tcPr>
                  <w:tcW w:w="823" w:type="dxa"/>
                  <w:tcBorders>
                    <w:tl2br w:val="nil"/>
                    <w:tr2bl w:val="nil"/>
                  </w:tcBorders>
                  <w:vAlign w:val="center"/>
                </w:tcPr>
                <w:p>
                  <w:pPr>
                    <w:widowControl/>
                    <w:adjustRightInd w:val="0"/>
                    <w:snapToGrid w:val="0"/>
                    <w:spacing w:line="288" w:lineRule="auto"/>
                    <w:jc w:val="left"/>
                    <w:rPr>
                      <w:rFonts w:ascii="Times New Roman" w:hAnsi="Times New Roman" w:cs="Times New Roman"/>
                      <w:spacing w:val="-6"/>
                      <w:kern w:val="0"/>
                      <w:sz w:val="21"/>
                      <w:szCs w:val="21"/>
                    </w:rPr>
                  </w:pPr>
                  <w:r>
                    <w:rPr>
                      <w:rFonts w:hint="eastAsia" w:ascii="Times New Roman" w:hAnsi="Times New Roman" w:cs="Times New Roman"/>
                      <w:spacing w:val="-6"/>
                      <w:kern w:val="0"/>
                      <w:sz w:val="21"/>
                      <w:szCs w:val="21"/>
                    </w:rPr>
                    <w:t>危险废物</w:t>
                  </w:r>
                </w:p>
              </w:tc>
              <w:tc>
                <w:tcPr>
                  <w:tcW w:w="419"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hint="eastAsia" w:ascii="Times New Roman" w:hAnsi="Times New Roman" w:cs="Times New Roman"/>
                      <w:kern w:val="0"/>
                      <w:sz w:val="21"/>
                      <w:szCs w:val="21"/>
                    </w:rPr>
                    <w:t>固态</w:t>
                  </w:r>
                </w:p>
              </w:tc>
              <w:tc>
                <w:tcPr>
                  <w:tcW w:w="548"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油类</w:t>
                  </w:r>
                </w:p>
              </w:tc>
              <w:tc>
                <w:tcPr>
                  <w:tcW w:w="562" w:type="dxa"/>
                  <w:gridSpan w:val="2"/>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油类</w:t>
                  </w:r>
                </w:p>
              </w:tc>
              <w:tc>
                <w:tcPr>
                  <w:tcW w:w="552" w:type="dxa"/>
                  <w:tcBorders>
                    <w:tl2br w:val="nil"/>
                    <w:tr2bl w:val="nil"/>
                  </w:tcBorders>
                  <w:vAlign w:val="center"/>
                </w:tcPr>
                <w:p>
                  <w:pPr>
                    <w:widowControl/>
                    <w:topLinePunct/>
                    <w:adjustRightInd w:val="0"/>
                    <w:snapToGrid w:val="0"/>
                    <w:spacing w:line="288" w:lineRule="auto"/>
                    <w:ind w:left="17" w:leftChars="-41" w:right="-123" w:rightChars="-44" w:hanging="132" w:hangingChars="63"/>
                    <w:jc w:val="center"/>
                    <w:rPr>
                      <w:rFonts w:ascii="Times New Roman" w:hAnsi="Times New Roman" w:cs="Times New Roman"/>
                      <w:kern w:val="0"/>
                      <w:sz w:val="21"/>
                      <w:szCs w:val="21"/>
                    </w:rPr>
                  </w:pPr>
                  <w:r>
                    <w:rPr>
                      <w:rFonts w:hint="eastAsia" w:ascii="Times New Roman" w:hAnsi="Times New Roman" w:cs="Times New Roman"/>
                      <w:kern w:val="0"/>
                      <w:sz w:val="21"/>
                      <w:szCs w:val="21"/>
                    </w:rPr>
                    <w:t>6个月</w:t>
                  </w:r>
                </w:p>
              </w:tc>
              <w:tc>
                <w:tcPr>
                  <w:tcW w:w="552" w:type="dxa"/>
                  <w:tcBorders>
                    <w:tl2br w:val="nil"/>
                    <w:tr2bl w:val="nil"/>
                  </w:tcBorders>
                  <w:vAlign w:val="center"/>
                </w:tcPr>
                <w:p>
                  <w:pPr>
                    <w:widowControl/>
                    <w:topLinePunct/>
                    <w:adjustRightInd w:val="0"/>
                    <w:snapToGrid w:val="0"/>
                    <w:spacing w:line="288" w:lineRule="auto"/>
                    <w:ind w:left="17" w:leftChars="-41" w:right="-123" w:rightChars="-44" w:hanging="132" w:hangingChars="63"/>
                    <w:jc w:val="center"/>
                    <w:rPr>
                      <w:rFonts w:ascii="Times New Roman" w:hAnsi="Times New Roman" w:cs="Times New Roman"/>
                      <w:kern w:val="0"/>
                      <w:sz w:val="21"/>
                      <w:szCs w:val="21"/>
                    </w:rPr>
                  </w:pPr>
                  <w:r>
                    <w:rPr>
                      <w:rFonts w:ascii="Times New Roman" w:hAnsi="Times New Roman" w:cs="Times New Roman"/>
                      <w:kern w:val="0"/>
                      <w:sz w:val="21"/>
                      <w:szCs w:val="21"/>
                    </w:rPr>
                    <w:t>T，I</w:t>
                  </w:r>
                </w:p>
              </w:tc>
              <w:tc>
                <w:tcPr>
                  <w:tcW w:w="761" w:type="dxa"/>
                  <w:vMerge w:val="continue"/>
                  <w:tcBorders>
                    <w:tl2br w:val="nil"/>
                    <w:tr2bl w:val="nil"/>
                  </w:tcBorders>
                  <w:vAlign w:val="center"/>
                </w:tcPr>
                <w:p>
                  <w:pPr>
                    <w:widowControl/>
                    <w:adjustRightInd w:val="0"/>
                    <w:snapToGrid w:val="0"/>
                    <w:spacing w:line="288" w:lineRule="auto"/>
                    <w:jc w:val="left"/>
                    <w:rPr>
                      <w:rFonts w:ascii="Times New Roman" w:hAnsi="Times New Roman" w:cs="Times New Roman"/>
                      <w:kern w:val="0"/>
                      <w:sz w:val="21"/>
                      <w:szCs w:val="21"/>
                    </w:rPr>
                  </w:pPr>
                </w:p>
              </w:tc>
            </w:tr>
          </w:tbl>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49</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工程固废产生及处置情况一览表</w:t>
            </w:r>
          </w:p>
          <w:tbl>
            <w:tblPr>
              <w:tblStyle w:val="28"/>
              <w:tblW w:w="858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57" w:type="dxa"/>
                <w:bottom w:w="0" w:type="dxa"/>
                <w:right w:w="57" w:type="dxa"/>
              </w:tblCellMar>
            </w:tblPr>
            <w:tblGrid>
              <w:gridCol w:w="669"/>
              <w:gridCol w:w="1520"/>
              <w:gridCol w:w="1690"/>
              <w:gridCol w:w="1394"/>
              <w:gridCol w:w="1276"/>
              <w:gridCol w:w="203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2189" w:type="dxa"/>
                  <w:gridSpan w:val="2"/>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固废来源</w:t>
                  </w:r>
                </w:p>
              </w:tc>
              <w:tc>
                <w:tcPr>
                  <w:tcW w:w="1690" w:type="dxa"/>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固废</w:t>
                  </w:r>
                </w:p>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名称</w:t>
                  </w:r>
                </w:p>
              </w:tc>
              <w:tc>
                <w:tcPr>
                  <w:tcW w:w="1394"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产生量</w:t>
                  </w:r>
                </w:p>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（t/a）</w:t>
                  </w:r>
                </w:p>
              </w:tc>
              <w:tc>
                <w:tcPr>
                  <w:tcW w:w="3313" w:type="dxa"/>
                  <w:gridSpan w:val="2"/>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处置措施及去向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669" w:type="dxa"/>
                  <w:vMerge w:val="restart"/>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一般固废</w:t>
                  </w:r>
                </w:p>
              </w:tc>
              <w:tc>
                <w:tcPr>
                  <w:tcW w:w="1520" w:type="dxa"/>
                  <w:vMerge w:val="restart"/>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下料</w:t>
                  </w:r>
                  <w:r>
                    <w:rPr>
                      <w:rFonts w:hint="eastAsia" w:ascii="Times New Roman" w:hAnsi="Times New Roman" w:cs="Times New Roman"/>
                      <w:kern w:val="0"/>
                      <w:sz w:val="21"/>
                      <w:szCs w:val="21"/>
                    </w:rPr>
                    <w:t>、焊接、打磨、机加工工序</w:t>
                  </w:r>
                </w:p>
              </w:tc>
              <w:tc>
                <w:tcPr>
                  <w:tcW w:w="1690" w:type="dxa"/>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废金属碎屑</w:t>
                  </w:r>
                </w:p>
              </w:tc>
              <w:tc>
                <w:tcPr>
                  <w:tcW w:w="139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0.05</w:t>
                  </w:r>
                </w:p>
              </w:tc>
              <w:tc>
                <w:tcPr>
                  <w:tcW w:w="3313" w:type="dxa"/>
                  <w:gridSpan w:val="2"/>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采用工业级吸尘器进行定期清理</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669" w:type="dxa"/>
                  <w:vMerge w:val="continue"/>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520"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90" w:type="dxa"/>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废边角料</w:t>
                  </w:r>
                </w:p>
              </w:tc>
              <w:tc>
                <w:tcPr>
                  <w:tcW w:w="139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w:t>
                  </w:r>
                </w:p>
              </w:tc>
              <w:tc>
                <w:tcPr>
                  <w:tcW w:w="1276" w:type="dxa"/>
                  <w:vMerge w:val="restart"/>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集中收集，在</w:t>
                  </w:r>
                  <w:r>
                    <w:rPr>
                      <w:rFonts w:ascii="Times New Roman" w:hAnsi="Times New Roman" w:cs="Times New Roman"/>
                      <w:kern w:val="0"/>
                      <w:sz w:val="21"/>
                      <w:szCs w:val="21"/>
                    </w:rPr>
                    <w:t>一般固废暂存间</w:t>
                  </w:r>
                  <w:r>
                    <w:rPr>
                      <w:rFonts w:hint="eastAsia" w:ascii="Times New Roman" w:hAnsi="Times New Roman" w:cs="Times New Roman"/>
                      <w:kern w:val="0"/>
                      <w:sz w:val="21"/>
                      <w:szCs w:val="21"/>
                    </w:rPr>
                    <w:t>暂存</w:t>
                  </w:r>
                </w:p>
              </w:tc>
              <w:tc>
                <w:tcPr>
                  <w:tcW w:w="2037" w:type="dxa"/>
                  <w:vMerge w:val="restart"/>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交由</w:t>
                  </w:r>
                  <w:r>
                    <w:rPr>
                      <w:rFonts w:ascii="Times New Roman" w:hAnsi="Times New Roman" w:cs="Times New Roman"/>
                      <w:kern w:val="0"/>
                      <w:sz w:val="21"/>
                      <w:szCs w:val="21"/>
                    </w:rPr>
                    <w:t>回收利用单位</w:t>
                  </w:r>
                  <w:r>
                    <w:rPr>
                      <w:rFonts w:hint="eastAsia" w:ascii="Times New Roman" w:hAnsi="Times New Roman" w:cs="Times New Roman"/>
                      <w:kern w:val="0"/>
                      <w:sz w:val="21"/>
                      <w:szCs w:val="21"/>
                    </w:rPr>
                    <w:t>回收利用</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669" w:type="dxa"/>
                  <w:vMerge w:val="continue"/>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520"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90" w:type="dxa"/>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除尘器收集粉尘</w:t>
                  </w:r>
                </w:p>
              </w:tc>
              <w:tc>
                <w:tcPr>
                  <w:tcW w:w="139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0.045</w:t>
                  </w:r>
                </w:p>
              </w:tc>
              <w:tc>
                <w:tcPr>
                  <w:tcW w:w="1276" w:type="dxa"/>
                  <w:vMerge w:val="continue"/>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2037"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669" w:type="dxa"/>
                  <w:vMerge w:val="continue"/>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520"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90" w:type="dxa"/>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废包装物</w:t>
                  </w:r>
                </w:p>
              </w:tc>
              <w:tc>
                <w:tcPr>
                  <w:tcW w:w="139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1</w:t>
                  </w:r>
                </w:p>
              </w:tc>
              <w:tc>
                <w:tcPr>
                  <w:tcW w:w="1276" w:type="dxa"/>
                  <w:vMerge w:val="continue"/>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2037"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669"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生活垃圾</w:t>
                  </w:r>
                </w:p>
              </w:tc>
              <w:tc>
                <w:tcPr>
                  <w:tcW w:w="152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办公生活</w:t>
                  </w:r>
                </w:p>
              </w:tc>
              <w:tc>
                <w:tcPr>
                  <w:tcW w:w="1690" w:type="dxa"/>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生活垃圾</w:t>
                  </w:r>
                </w:p>
              </w:tc>
              <w:tc>
                <w:tcPr>
                  <w:tcW w:w="139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4.5</w:t>
                  </w:r>
                </w:p>
              </w:tc>
              <w:tc>
                <w:tcPr>
                  <w:tcW w:w="1276" w:type="dxa"/>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垃圾箱收集</w:t>
                  </w:r>
                </w:p>
              </w:tc>
              <w:tc>
                <w:tcPr>
                  <w:tcW w:w="2037"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由</w:t>
                  </w:r>
                  <w:r>
                    <w:rPr>
                      <w:rFonts w:ascii="Times New Roman" w:hAnsi="Times New Roman" w:cs="Times New Roman"/>
                      <w:kern w:val="0"/>
                      <w:sz w:val="21"/>
                      <w:szCs w:val="21"/>
                    </w:rPr>
                    <w:t>环卫部门</w:t>
                  </w:r>
                  <w:r>
                    <w:rPr>
                      <w:rFonts w:hint="eastAsia" w:ascii="Times New Roman" w:hAnsi="Times New Roman" w:cs="Times New Roman"/>
                      <w:kern w:val="0"/>
                      <w:sz w:val="21"/>
                      <w:szCs w:val="21"/>
                    </w:rPr>
                    <w:t>定期清运</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669" w:type="dxa"/>
                  <w:vMerge w:val="restart"/>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危险废物</w:t>
                  </w:r>
                </w:p>
              </w:tc>
              <w:tc>
                <w:tcPr>
                  <w:tcW w:w="1520" w:type="dxa"/>
                  <w:vMerge w:val="restart"/>
                  <w:tcBorders>
                    <w:tl2br w:val="nil"/>
                    <w:tr2bl w:val="nil"/>
                  </w:tcBorders>
                  <w:tcMar>
                    <w:top w:w="0" w:type="dxa"/>
                    <w:left w:w="28" w:type="dxa"/>
                    <w:bottom w:w="0" w:type="dxa"/>
                    <w:right w:w="28" w:type="dxa"/>
                  </w:tcMar>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机械设备</w:t>
                  </w:r>
                </w:p>
              </w:tc>
              <w:tc>
                <w:tcPr>
                  <w:tcW w:w="1690" w:type="dxa"/>
                  <w:tcBorders>
                    <w:tl2br w:val="nil"/>
                    <w:tr2bl w:val="nil"/>
                  </w:tcBorders>
                  <w:tcMar>
                    <w:top w:w="0" w:type="dxa"/>
                    <w:left w:w="28" w:type="dxa"/>
                    <w:bottom w:w="0" w:type="dxa"/>
                    <w:right w:w="28" w:type="dxa"/>
                  </w:tcMar>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废液压油</w:t>
                  </w:r>
                </w:p>
              </w:tc>
              <w:tc>
                <w:tcPr>
                  <w:tcW w:w="1394"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0.05</w:t>
                  </w:r>
                </w:p>
              </w:tc>
              <w:tc>
                <w:tcPr>
                  <w:tcW w:w="1276" w:type="dxa"/>
                  <w:vMerge w:val="restart"/>
                  <w:tcBorders>
                    <w:tl2br w:val="nil"/>
                    <w:tr2bl w:val="nil"/>
                  </w:tcBorders>
                  <w:tcMar>
                    <w:top w:w="0" w:type="dxa"/>
                    <w:left w:w="28" w:type="dxa"/>
                    <w:bottom w:w="0" w:type="dxa"/>
                    <w:right w:w="28" w:type="dxa"/>
                  </w:tcMar>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集中收集，在</w:t>
                  </w:r>
                  <w:r>
                    <w:rPr>
                      <w:rFonts w:ascii="Times New Roman" w:hAnsi="Times New Roman" w:cs="Times New Roman"/>
                      <w:kern w:val="0"/>
                      <w:sz w:val="21"/>
                      <w:szCs w:val="21"/>
                    </w:rPr>
                    <w:t>危废暂存间</w:t>
                  </w:r>
                  <w:r>
                    <w:rPr>
                      <w:rFonts w:hint="eastAsia" w:ascii="Times New Roman" w:hAnsi="Times New Roman" w:cs="Times New Roman"/>
                      <w:kern w:val="0"/>
                      <w:sz w:val="21"/>
                      <w:szCs w:val="21"/>
                    </w:rPr>
                    <w:t>暂存</w:t>
                  </w:r>
                </w:p>
              </w:tc>
              <w:tc>
                <w:tcPr>
                  <w:tcW w:w="2037" w:type="dxa"/>
                  <w:vMerge w:val="restart"/>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交由</w:t>
                  </w:r>
                  <w:r>
                    <w:rPr>
                      <w:rFonts w:ascii="Times New Roman" w:hAnsi="Times New Roman" w:cs="Times New Roman"/>
                      <w:kern w:val="0"/>
                      <w:sz w:val="21"/>
                      <w:szCs w:val="21"/>
                    </w:rPr>
                    <w:t>有资质的危废处置单位</w:t>
                  </w:r>
                  <w:r>
                    <w:rPr>
                      <w:rFonts w:hint="eastAsia" w:ascii="Times New Roman" w:hAnsi="Times New Roman" w:cs="Times New Roman"/>
                      <w:kern w:val="0"/>
                      <w:sz w:val="21"/>
                      <w:szCs w:val="21"/>
                    </w:rPr>
                    <w:t>处置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66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520"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90" w:type="dxa"/>
                  <w:tcBorders>
                    <w:tl2br w:val="nil"/>
                    <w:tr2bl w:val="nil"/>
                  </w:tcBorders>
                  <w:tcMar>
                    <w:top w:w="0" w:type="dxa"/>
                    <w:left w:w="28" w:type="dxa"/>
                    <w:bottom w:w="0" w:type="dxa"/>
                    <w:right w:w="28" w:type="dxa"/>
                  </w:tcMar>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废润滑油</w:t>
                  </w:r>
                </w:p>
              </w:tc>
              <w:tc>
                <w:tcPr>
                  <w:tcW w:w="1394"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0.</w:t>
                  </w:r>
                  <w:r>
                    <w:rPr>
                      <w:rFonts w:hint="eastAsia" w:ascii="Times New Roman" w:hAnsi="Times New Roman" w:cs="Times New Roman"/>
                      <w:kern w:val="0"/>
                      <w:sz w:val="21"/>
                      <w:szCs w:val="21"/>
                    </w:rPr>
                    <w:t>03</w:t>
                  </w:r>
                </w:p>
              </w:tc>
              <w:tc>
                <w:tcPr>
                  <w:tcW w:w="1276"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2037"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7" w:type="dxa"/>
                  <w:bottom w:w="0" w:type="dxa"/>
                  <w:right w:w="57" w:type="dxa"/>
                </w:tblCellMar>
              </w:tblPrEx>
              <w:trPr>
                <w:trHeight w:val="454" w:hRule="atLeast"/>
                <w:jc w:val="center"/>
              </w:trPr>
              <w:tc>
                <w:tcPr>
                  <w:tcW w:w="66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520"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90" w:type="dxa"/>
                  <w:tcBorders>
                    <w:tl2br w:val="nil"/>
                    <w:tr2bl w:val="nil"/>
                  </w:tcBorders>
                  <w:tcMar>
                    <w:top w:w="0" w:type="dxa"/>
                    <w:left w:w="28" w:type="dxa"/>
                    <w:bottom w:w="0" w:type="dxa"/>
                    <w:right w:w="28" w:type="dxa"/>
                  </w:tcMar>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废</w:t>
                  </w:r>
                  <w:r>
                    <w:rPr>
                      <w:rFonts w:hint="eastAsia" w:ascii="Times New Roman" w:hAnsi="Times New Roman" w:cs="Times New Roman"/>
                      <w:kern w:val="0"/>
                      <w:sz w:val="21"/>
                      <w:szCs w:val="21"/>
                    </w:rPr>
                    <w:t>油</w:t>
                  </w:r>
                  <w:r>
                    <w:rPr>
                      <w:rFonts w:ascii="Times New Roman" w:hAnsi="Times New Roman" w:cs="Times New Roman"/>
                      <w:kern w:val="0"/>
                      <w:sz w:val="21"/>
                      <w:szCs w:val="21"/>
                    </w:rPr>
                    <w:t>桶</w:t>
                  </w:r>
                </w:p>
              </w:tc>
              <w:tc>
                <w:tcPr>
                  <w:tcW w:w="1394"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400个</w:t>
                  </w:r>
                </w:p>
              </w:tc>
              <w:tc>
                <w:tcPr>
                  <w:tcW w:w="1276"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2037"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r>
          </w:tbl>
          <w:p>
            <w:pPr>
              <w:adjustRightInd w:val="0"/>
              <w:snapToGrid w:val="0"/>
              <w:spacing w:before="190" w:beforeLines="50" w:line="360" w:lineRule="auto"/>
              <w:ind w:firstLine="480" w:firstLineChars="200"/>
              <w:jc w:val="left"/>
              <w:rPr>
                <w:rFonts w:ascii="Times New Roman" w:hAnsi="Times New Roman" w:cs="Times New Roman" w:eastAsiaTheme="minorEastAsia"/>
                <w:sz w:val="24"/>
                <w:szCs w:val="24"/>
              </w:rPr>
            </w:pPr>
            <w:r>
              <w:rPr>
                <w:rFonts w:hint="eastAsia" w:ascii="Times New Roman" w:hAnsi="Times New Roman" w:cs="Times New Roman" w:eastAsiaTheme="minorEastAsia"/>
                <w:sz w:val="24"/>
                <w:szCs w:val="24"/>
              </w:rPr>
              <w:t>3.2 固体废物的储存、运输、监管</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（1）</w:t>
            </w:r>
            <w:r>
              <w:rPr>
                <w:rFonts w:ascii="Times New Roman" w:hAnsi="Times New Roman" w:cs="Times New Roman"/>
                <w:sz w:val="24"/>
                <w:szCs w:val="24"/>
              </w:rPr>
              <w:t>危险废物储存</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评价要求工程设置一座</w:t>
            </w:r>
            <w:r>
              <w:rPr>
                <w:rFonts w:hint="eastAsia" w:ascii="Times New Roman" w:hAnsi="Times New Roman" w:cs="Times New Roman"/>
                <w:sz w:val="24"/>
                <w:szCs w:val="24"/>
              </w:rPr>
              <w:t>4</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危废暂存间，位于车间</w:t>
            </w:r>
            <w:r>
              <w:rPr>
                <w:rFonts w:hint="eastAsia" w:ascii="Times New Roman" w:hAnsi="Times New Roman" w:cs="Times New Roman"/>
                <w:sz w:val="24"/>
                <w:szCs w:val="24"/>
              </w:rPr>
              <w:t>内</w:t>
            </w:r>
            <w:r>
              <w:rPr>
                <w:rFonts w:ascii="Times New Roman" w:hAnsi="Times New Roman" w:cs="Times New Roman"/>
                <w:sz w:val="24"/>
                <w:szCs w:val="24"/>
              </w:rPr>
              <w:t>西南侧。危废间地面采用具有防渗效力的人工材料进行铺设。危废暂存间内设有安全照明设施，存放危废容器的地方无裂缝，满足安全设计要求，具有防渗、防雨、防风、防晒功能，有专人看管，设有警示标志，满足《危险废物贮存污染控制标准》（GB18597-2001）及其修改单中相关要求。</w:t>
            </w:r>
          </w:p>
          <w:p>
            <w:pPr>
              <w:pStyle w:val="10"/>
              <w:adjustRightInd w:val="0"/>
              <w:snapToGrid w:val="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50</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建设项目危险废物贮存场所（设施）基本情况</w:t>
            </w:r>
          </w:p>
          <w:tbl>
            <w:tblPr>
              <w:tblStyle w:val="28"/>
              <w:tblW w:w="85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000"/>
              <w:gridCol w:w="1024"/>
              <w:gridCol w:w="1784"/>
              <w:gridCol w:w="1123"/>
              <w:gridCol w:w="691"/>
              <w:gridCol w:w="660"/>
              <w:gridCol w:w="693"/>
              <w:gridCol w:w="537"/>
              <w:gridCol w:w="6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序号</w:t>
                  </w:r>
                </w:p>
              </w:tc>
              <w:tc>
                <w:tcPr>
                  <w:tcW w:w="1000"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贮存场所（设施）</w:t>
                  </w:r>
                </w:p>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名称</w:t>
                  </w:r>
                </w:p>
              </w:tc>
              <w:tc>
                <w:tcPr>
                  <w:tcW w:w="1024"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危险废物名称</w:t>
                  </w:r>
                </w:p>
              </w:tc>
              <w:tc>
                <w:tcPr>
                  <w:tcW w:w="1784"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危险废物类别</w:t>
                  </w:r>
                </w:p>
              </w:tc>
              <w:tc>
                <w:tcPr>
                  <w:tcW w:w="1123"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危险废物代码</w:t>
                  </w:r>
                </w:p>
              </w:tc>
              <w:tc>
                <w:tcPr>
                  <w:tcW w:w="691"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位置</w:t>
                  </w:r>
                </w:p>
              </w:tc>
              <w:tc>
                <w:tcPr>
                  <w:tcW w:w="660"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占地</w:t>
                  </w:r>
                </w:p>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面积</w:t>
                  </w:r>
                </w:p>
              </w:tc>
              <w:tc>
                <w:tcPr>
                  <w:tcW w:w="693"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贮存</w:t>
                  </w:r>
                </w:p>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方式</w:t>
                  </w:r>
                </w:p>
              </w:tc>
              <w:tc>
                <w:tcPr>
                  <w:tcW w:w="537"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贮存</w:t>
                  </w:r>
                </w:p>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能力</w:t>
                  </w:r>
                </w:p>
              </w:tc>
              <w:tc>
                <w:tcPr>
                  <w:tcW w:w="607"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贮存</w:t>
                  </w:r>
                </w:p>
                <w:p>
                  <w:pPr>
                    <w:widowControl/>
                    <w:topLinePunct/>
                    <w:adjustRightInd w:val="0"/>
                    <w:snapToGrid w:val="0"/>
                    <w:spacing w:line="288" w:lineRule="auto"/>
                    <w:ind w:left="20" w:leftChars="-38" w:right="-106" w:rightChars="-38" w:hanging="126" w:hangingChars="60"/>
                    <w:jc w:val="center"/>
                    <w:rPr>
                      <w:rFonts w:ascii="Times New Roman" w:hAnsi="Times New Roman" w:cs="Times New Roman"/>
                      <w:b/>
                      <w:bCs/>
                      <w:kern w:val="0"/>
                      <w:sz w:val="21"/>
                      <w:szCs w:val="21"/>
                    </w:rPr>
                  </w:pPr>
                  <w:r>
                    <w:rPr>
                      <w:rFonts w:ascii="Times New Roman" w:hAnsi="Times New Roman" w:cs="Times New Roman"/>
                      <w:b/>
                      <w:bCs/>
                      <w:kern w:val="0"/>
                      <w:sz w:val="21"/>
                      <w:szCs w:val="21"/>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1000" w:type="dxa"/>
                  <w:vMerge w:val="restart"/>
                  <w:tcBorders>
                    <w:tl2br w:val="nil"/>
                    <w:tr2bl w:val="nil"/>
                  </w:tcBorders>
                  <w:vAlign w:val="center"/>
                </w:tcPr>
                <w:p>
                  <w:pPr>
                    <w:widowControl/>
                    <w:topLinePunct/>
                    <w:adjustRightInd w:val="0"/>
                    <w:snapToGrid w:val="0"/>
                    <w:spacing w:line="288" w:lineRule="auto"/>
                    <w:ind w:left="27" w:leftChars="-54" w:right="-174" w:rightChars="-62" w:hanging="178" w:hangingChars="85"/>
                    <w:jc w:val="center"/>
                    <w:rPr>
                      <w:rFonts w:ascii="Times New Roman" w:hAnsi="Times New Roman" w:cs="Times New Roman"/>
                      <w:kern w:val="0"/>
                      <w:sz w:val="21"/>
                      <w:szCs w:val="21"/>
                    </w:rPr>
                  </w:pPr>
                  <w:r>
                    <w:rPr>
                      <w:rFonts w:ascii="Times New Roman" w:hAnsi="Times New Roman" w:cs="Times New Roman"/>
                      <w:kern w:val="0"/>
                      <w:sz w:val="21"/>
                      <w:szCs w:val="21"/>
                    </w:rPr>
                    <w:t>危废暂存间</w:t>
                  </w:r>
                </w:p>
              </w:tc>
              <w:tc>
                <w:tcPr>
                  <w:tcW w:w="1024" w:type="dxa"/>
                  <w:tcBorders>
                    <w:tl2br w:val="nil"/>
                    <w:tr2bl w:val="nil"/>
                  </w:tcBorders>
                  <w:vAlign w:val="center"/>
                </w:tcPr>
                <w:p>
                  <w:pPr>
                    <w:widowControl/>
                    <w:topLinePunct/>
                    <w:adjustRightInd w:val="0"/>
                    <w:snapToGrid w:val="0"/>
                    <w:spacing w:line="288" w:lineRule="auto"/>
                    <w:ind w:left="27" w:leftChars="-54" w:right="-174" w:rightChars="-62" w:hanging="178" w:hangingChars="85"/>
                    <w:jc w:val="center"/>
                    <w:rPr>
                      <w:rFonts w:ascii="Times New Roman" w:hAnsi="Times New Roman" w:cs="Times New Roman"/>
                      <w:kern w:val="0"/>
                      <w:sz w:val="21"/>
                      <w:szCs w:val="21"/>
                    </w:rPr>
                  </w:pPr>
                  <w:r>
                    <w:rPr>
                      <w:rFonts w:ascii="Times New Roman" w:hAnsi="Times New Roman" w:cs="Times New Roman"/>
                      <w:kern w:val="0"/>
                      <w:sz w:val="21"/>
                      <w:szCs w:val="21"/>
                    </w:rPr>
                    <w:t>废液压油</w:t>
                  </w:r>
                </w:p>
              </w:tc>
              <w:tc>
                <w:tcPr>
                  <w:tcW w:w="1784" w:type="dxa"/>
                  <w:vMerge w:val="restart"/>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HW08（废矿物油与含矿物油废物）</w:t>
                  </w:r>
                </w:p>
              </w:tc>
              <w:tc>
                <w:tcPr>
                  <w:tcW w:w="1123"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ascii="Times New Roman" w:hAnsi="Times New Roman" w:cs="Times New Roman"/>
                      <w:kern w:val="0"/>
                      <w:sz w:val="21"/>
                      <w:szCs w:val="21"/>
                    </w:rPr>
                    <w:t>900-218-08</w:t>
                  </w:r>
                </w:p>
              </w:tc>
              <w:tc>
                <w:tcPr>
                  <w:tcW w:w="691" w:type="dxa"/>
                  <w:vMerge w:val="restart"/>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危废</w:t>
                  </w:r>
                </w:p>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ascii="Times New Roman" w:hAnsi="Times New Roman" w:cs="Times New Roman"/>
                      <w:kern w:val="0"/>
                      <w:sz w:val="21"/>
                      <w:szCs w:val="21"/>
                    </w:rPr>
                    <w:t>暂存间</w:t>
                  </w:r>
                </w:p>
              </w:tc>
              <w:tc>
                <w:tcPr>
                  <w:tcW w:w="660" w:type="dxa"/>
                  <w:vMerge w:val="restart"/>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4</w:t>
                  </w:r>
                  <w:r>
                    <w:rPr>
                      <w:rFonts w:ascii="Times New Roman" w:hAnsi="Times New Roman" w:cs="Times New Roman"/>
                      <w:kern w:val="0"/>
                      <w:sz w:val="21"/>
                      <w:szCs w:val="21"/>
                    </w:rPr>
                    <w:t>m</w:t>
                  </w:r>
                  <w:r>
                    <w:rPr>
                      <w:rFonts w:ascii="Times New Roman" w:hAnsi="Times New Roman" w:cs="Times New Roman"/>
                      <w:kern w:val="0"/>
                      <w:sz w:val="21"/>
                      <w:szCs w:val="21"/>
                      <w:vertAlign w:val="superscript"/>
                    </w:rPr>
                    <w:t>2</w:t>
                  </w:r>
                </w:p>
              </w:tc>
              <w:tc>
                <w:tcPr>
                  <w:tcW w:w="693"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密闭储存</w:t>
                  </w:r>
                </w:p>
              </w:tc>
              <w:tc>
                <w:tcPr>
                  <w:tcW w:w="53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0.4t</w:t>
                  </w:r>
                </w:p>
              </w:tc>
              <w:tc>
                <w:tcPr>
                  <w:tcW w:w="60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000" w:type="dxa"/>
                  <w:vMerge w:val="continue"/>
                  <w:tcBorders>
                    <w:tl2br w:val="nil"/>
                    <w:tr2bl w:val="nil"/>
                  </w:tcBorders>
                  <w:vAlign w:val="center"/>
                </w:tcPr>
                <w:p>
                  <w:pPr>
                    <w:widowControl/>
                    <w:adjustRightInd w:val="0"/>
                    <w:snapToGrid w:val="0"/>
                    <w:spacing w:line="288" w:lineRule="auto"/>
                    <w:jc w:val="left"/>
                    <w:rPr>
                      <w:rFonts w:ascii="Times New Roman" w:hAnsi="Times New Roman" w:cs="Times New Roman"/>
                      <w:kern w:val="0"/>
                      <w:sz w:val="21"/>
                      <w:szCs w:val="21"/>
                    </w:rPr>
                  </w:pPr>
                </w:p>
              </w:tc>
              <w:tc>
                <w:tcPr>
                  <w:tcW w:w="1024" w:type="dxa"/>
                  <w:tcBorders>
                    <w:tl2br w:val="nil"/>
                    <w:tr2bl w:val="nil"/>
                  </w:tcBorders>
                  <w:vAlign w:val="center"/>
                </w:tcPr>
                <w:p>
                  <w:pPr>
                    <w:widowControl/>
                    <w:topLinePunct/>
                    <w:adjustRightInd w:val="0"/>
                    <w:snapToGrid w:val="0"/>
                    <w:spacing w:line="288" w:lineRule="auto"/>
                    <w:ind w:left="27" w:leftChars="-54" w:right="-174" w:rightChars="-62" w:hanging="178" w:hangingChars="85"/>
                    <w:jc w:val="center"/>
                    <w:rPr>
                      <w:rFonts w:ascii="Times New Roman" w:hAnsi="Times New Roman" w:cs="Times New Roman"/>
                      <w:kern w:val="0"/>
                      <w:sz w:val="21"/>
                      <w:szCs w:val="21"/>
                    </w:rPr>
                  </w:pPr>
                  <w:r>
                    <w:rPr>
                      <w:rFonts w:ascii="Times New Roman" w:hAnsi="Times New Roman" w:cs="Times New Roman"/>
                      <w:kern w:val="0"/>
                      <w:sz w:val="21"/>
                      <w:szCs w:val="21"/>
                    </w:rPr>
                    <w:t>废润滑油</w:t>
                  </w:r>
                </w:p>
              </w:tc>
              <w:tc>
                <w:tcPr>
                  <w:tcW w:w="1784" w:type="dxa"/>
                  <w:vMerge w:val="continue"/>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p>
              </w:tc>
              <w:tc>
                <w:tcPr>
                  <w:tcW w:w="1123"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hint="eastAsia" w:ascii="Times New Roman" w:hAnsi="Times New Roman" w:cs="Times New Roman"/>
                      <w:kern w:val="0"/>
                      <w:sz w:val="21"/>
                      <w:szCs w:val="21"/>
                    </w:rPr>
                    <w:t>900-249-08</w:t>
                  </w:r>
                </w:p>
              </w:tc>
              <w:tc>
                <w:tcPr>
                  <w:tcW w:w="691" w:type="dxa"/>
                  <w:vMerge w:val="continue"/>
                  <w:tcBorders>
                    <w:tl2br w:val="nil"/>
                    <w:tr2bl w:val="nil"/>
                  </w:tcBorders>
                  <w:vAlign w:val="center"/>
                </w:tcPr>
                <w:p>
                  <w:pPr>
                    <w:widowControl/>
                    <w:adjustRightInd w:val="0"/>
                    <w:snapToGrid w:val="0"/>
                    <w:spacing w:line="288" w:lineRule="auto"/>
                    <w:jc w:val="left"/>
                    <w:rPr>
                      <w:rFonts w:ascii="Times New Roman" w:hAnsi="Times New Roman" w:cs="Times New Roman"/>
                      <w:kern w:val="0"/>
                      <w:sz w:val="21"/>
                      <w:szCs w:val="21"/>
                    </w:rPr>
                  </w:pPr>
                </w:p>
              </w:tc>
              <w:tc>
                <w:tcPr>
                  <w:tcW w:w="660" w:type="dxa"/>
                  <w:vMerge w:val="continue"/>
                  <w:tcBorders>
                    <w:tl2br w:val="nil"/>
                    <w:tr2bl w:val="nil"/>
                  </w:tcBorders>
                  <w:vAlign w:val="center"/>
                </w:tcPr>
                <w:p>
                  <w:pPr>
                    <w:widowControl/>
                    <w:adjustRightInd w:val="0"/>
                    <w:snapToGrid w:val="0"/>
                    <w:spacing w:line="288" w:lineRule="auto"/>
                    <w:jc w:val="left"/>
                    <w:rPr>
                      <w:rFonts w:ascii="Times New Roman" w:hAnsi="Times New Roman" w:cs="Times New Roman"/>
                      <w:kern w:val="0"/>
                      <w:sz w:val="21"/>
                      <w:szCs w:val="21"/>
                    </w:rPr>
                  </w:pPr>
                </w:p>
              </w:tc>
              <w:tc>
                <w:tcPr>
                  <w:tcW w:w="693"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密闭储存</w:t>
                  </w:r>
                </w:p>
              </w:tc>
              <w:tc>
                <w:tcPr>
                  <w:tcW w:w="53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0.4t</w:t>
                  </w:r>
                </w:p>
              </w:tc>
              <w:tc>
                <w:tcPr>
                  <w:tcW w:w="60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3</w:t>
                  </w:r>
                </w:p>
              </w:tc>
              <w:tc>
                <w:tcPr>
                  <w:tcW w:w="1000" w:type="dxa"/>
                  <w:vMerge w:val="continue"/>
                  <w:tcBorders>
                    <w:tl2br w:val="nil"/>
                    <w:tr2bl w:val="nil"/>
                  </w:tcBorders>
                  <w:vAlign w:val="center"/>
                </w:tcPr>
                <w:p>
                  <w:pPr>
                    <w:widowControl/>
                    <w:adjustRightInd w:val="0"/>
                    <w:snapToGrid w:val="0"/>
                    <w:spacing w:line="288" w:lineRule="auto"/>
                    <w:jc w:val="left"/>
                    <w:rPr>
                      <w:rFonts w:ascii="Times New Roman" w:hAnsi="Times New Roman" w:cs="Times New Roman"/>
                      <w:kern w:val="0"/>
                      <w:sz w:val="21"/>
                      <w:szCs w:val="21"/>
                    </w:rPr>
                  </w:pPr>
                </w:p>
              </w:tc>
              <w:tc>
                <w:tcPr>
                  <w:tcW w:w="1024" w:type="dxa"/>
                  <w:tcBorders>
                    <w:tl2br w:val="nil"/>
                    <w:tr2bl w:val="nil"/>
                  </w:tcBorders>
                  <w:vAlign w:val="center"/>
                </w:tcPr>
                <w:p>
                  <w:pPr>
                    <w:widowControl/>
                    <w:topLinePunct/>
                    <w:adjustRightInd w:val="0"/>
                    <w:snapToGrid w:val="0"/>
                    <w:spacing w:line="288" w:lineRule="auto"/>
                    <w:ind w:left="27" w:leftChars="-54" w:right="-174" w:rightChars="-62" w:hanging="178" w:hangingChars="85"/>
                    <w:jc w:val="center"/>
                    <w:rPr>
                      <w:rFonts w:ascii="Times New Roman" w:hAnsi="Times New Roman" w:cs="Times New Roman"/>
                      <w:kern w:val="0"/>
                      <w:sz w:val="21"/>
                      <w:szCs w:val="21"/>
                    </w:rPr>
                  </w:pPr>
                  <w:r>
                    <w:rPr>
                      <w:rFonts w:ascii="Times New Roman" w:hAnsi="Times New Roman" w:cs="Times New Roman"/>
                      <w:kern w:val="0"/>
                      <w:sz w:val="21"/>
                      <w:szCs w:val="21"/>
                    </w:rPr>
                    <w:t>废</w:t>
                  </w:r>
                  <w:r>
                    <w:rPr>
                      <w:rFonts w:hint="eastAsia" w:ascii="Times New Roman" w:hAnsi="Times New Roman" w:cs="Times New Roman"/>
                      <w:kern w:val="0"/>
                      <w:sz w:val="21"/>
                      <w:szCs w:val="21"/>
                    </w:rPr>
                    <w:t>油</w:t>
                  </w:r>
                  <w:r>
                    <w:rPr>
                      <w:rFonts w:ascii="Times New Roman" w:hAnsi="Times New Roman" w:cs="Times New Roman"/>
                      <w:kern w:val="0"/>
                      <w:sz w:val="21"/>
                      <w:szCs w:val="21"/>
                    </w:rPr>
                    <w:t>桶</w:t>
                  </w:r>
                </w:p>
              </w:tc>
              <w:tc>
                <w:tcPr>
                  <w:tcW w:w="1784"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HW49 其它废物</w:t>
                  </w:r>
                </w:p>
              </w:tc>
              <w:tc>
                <w:tcPr>
                  <w:tcW w:w="1123" w:type="dxa"/>
                  <w:tcBorders>
                    <w:tl2br w:val="nil"/>
                    <w:tr2bl w:val="nil"/>
                  </w:tcBorders>
                  <w:vAlign w:val="center"/>
                </w:tcPr>
                <w:p>
                  <w:pPr>
                    <w:widowControl/>
                    <w:topLinePunct/>
                    <w:adjustRightInd w:val="0"/>
                    <w:snapToGrid w:val="0"/>
                    <w:spacing w:line="288" w:lineRule="auto"/>
                    <w:ind w:left="20" w:leftChars="-38" w:right="-106" w:rightChars="-38" w:hanging="126" w:hangingChars="60"/>
                    <w:jc w:val="center"/>
                    <w:rPr>
                      <w:rFonts w:ascii="Times New Roman" w:hAnsi="Times New Roman" w:cs="Times New Roman"/>
                      <w:kern w:val="0"/>
                      <w:sz w:val="21"/>
                      <w:szCs w:val="21"/>
                    </w:rPr>
                  </w:pPr>
                  <w:r>
                    <w:rPr>
                      <w:rFonts w:hint="eastAsia" w:ascii="Times New Roman" w:hAnsi="Times New Roman" w:cs="Times New Roman"/>
                      <w:kern w:val="0"/>
                      <w:sz w:val="21"/>
                      <w:szCs w:val="21"/>
                    </w:rPr>
                    <w:t>900-041-49</w:t>
                  </w:r>
                </w:p>
              </w:tc>
              <w:tc>
                <w:tcPr>
                  <w:tcW w:w="691" w:type="dxa"/>
                  <w:vMerge w:val="continue"/>
                  <w:tcBorders>
                    <w:tl2br w:val="nil"/>
                    <w:tr2bl w:val="nil"/>
                  </w:tcBorders>
                  <w:vAlign w:val="center"/>
                </w:tcPr>
                <w:p>
                  <w:pPr>
                    <w:widowControl/>
                    <w:adjustRightInd w:val="0"/>
                    <w:snapToGrid w:val="0"/>
                    <w:spacing w:line="288" w:lineRule="auto"/>
                    <w:jc w:val="left"/>
                    <w:rPr>
                      <w:rFonts w:ascii="Times New Roman" w:hAnsi="Times New Roman" w:cs="Times New Roman"/>
                      <w:kern w:val="0"/>
                      <w:sz w:val="21"/>
                      <w:szCs w:val="21"/>
                    </w:rPr>
                  </w:pPr>
                </w:p>
              </w:tc>
              <w:tc>
                <w:tcPr>
                  <w:tcW w:w="660" w:type="dxa"/>
                  <w:vMerge w:val="continue"/>
                  <w:tcBorders>
                    <w:tl2br w:val="nil"/>
                    <w:tr2bl w:val="nil"/>
                  </w:tcBorders>
                  <w:vAlign w:val="center"/>
                </w:tcPr>
                <w:p>
                  <w:pPr>
                    <w:widowControl/>
                    <w:adjustRightInd w:val="0"/>
                    <w:snapToGrid w:val="0"/>
                    <w:spacing w:line="288" w:lineRule="auto"/>
                    <w:jc w:val="left"/>
                    <w:rPr>
                      <w:rFonts w:ascii="Times New Roman" w:hAnsi="Times New Roman" w:cs="Times New Roman"/>
                      <w:kern w:val="0"/>
                      <w:sz w:val="21"/>
                      <w:szCs w:val="21"/>
                    </w:rPr>
                  </w:pPr>
                </w:p>
              </w:tc>
              <w:tc>
                <w:tcPr>
                  <w:tcW w:w="693"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密闭储存</w:t>
                  </w:r>
                </w:p>
              </w:tc>
              <w:tc>
                <w:tcPr>
                  <w:tcW w:w="53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Style w:val="33"/>
                      <w:rFonts w:ascii="Times New Roman" w:hAnsi="Times New Roman" w:cs="Times New Roman"/>
                      <w:b w:val="0"/>
                      <w:lang w:eastAsia="zh-CN"/>
                    </w:rPr>
                    <w:t>500个</w:t>
                  </w:r>
                </w:p>
              </w:tc>
              <w:tc>
                <w:tcPr>
                  <w:tcW w:w="607" w:type="dxa"/>
                  <w:tcBorders>
                    <w:tl2br w:val="nil"/>
                    <w:tr2bl w:val="nil"/>
                  </w:tcBorders>
                  <w:vAlign w:val="center"/>
                </w:tcPr>
                <w:p>
                  <w:pPr>
                    <w:widowControl/>
                    <w:topLinePunct/>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6个月</w:t>
                  </w:r>
                </w:p>
              </w:tc>
            </w:tr>
          </w:tbl>
          <w:p>
            <w:pPr>
              <w:adjustRightInd w:val="0"/>
              <w:snapToGrid w:val="0"/>
              <w:spacing w:before="190" w:beforeLines="50"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危险废物须按照《危险废物收集、贮存、运输技术规范》（HJ2025-2012）中相关 技术要求，具体如下：</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①</w:t>
            </w:r>
            <w:r>
              <w:rPr>
                <w:rFonts w:ascii="Times New Roman" w:hAnsi="Times New Roman" w:cs="Times New Roman"/>
                <w:sz w:val="24"/>
                <w:szCs w:val="24"/>
              </w:rPr>
              <w:t>危险废物贮存设施的选址须满足 GB18597、GBZ1 和 GBZ2 的有关要求。</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危险废物贮存设施须配备通讯设备、照明设施和消防设施。</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③</w:t>
            </w:r>
            <w:r>
              <w:rPr>
                <w:rFonts w:ascii="Times New Roman" w:hAnsi="Times New Roman" w:cs="Times New Roman"/>
                <w:sz w:val="24"/>
                <w:szCs w:val="24"/>
              </w:rPr>
              <w:t>暂存场所内须按照危险废物的种类和特性进行</w:t>
            </w:r>
            <w:r>
              <w:rPr>
                <w:rFonts w:hint="eastAsia" w:ascii="Times New Roman" w:hAnsi="Times New Roman" w:cs="Times New Roman"/>
                <w:sz w:val="24"/>
                <w:szCs w:val="24"/>
              </w:rPr>
              <w:t>分类</w:t>
            </w:r>
            <w:r>
              <w:rPr>
                <w:rFonts w:ascii="Times New Roman" w:hAnsi="Times New Roman" w:cs="Times New Roman"/>
                <w:sz w:val="24"/>
                <w:szCs w:val="24"/>
              </w:rPr>
              <w:t>贮存，并设置防雨、防火、防雷、防扬尘装置。</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④</w:t>
            </w:r>
            <w:r>
              <w:rPr>
                <w:rFonts w:ascii="Times New Roman" w:hAnsi="Times New Roman" w:cs="Times New Roman"/>
                <w:sz w:val="24"/>
                <w:szCs w:val="24"/>
              </w:rPr>
              <w:t>危险废物贮存期限按《中华人民共和国固体废物污染环境防治法》的有关规定，及时交由资质单位集中处置。</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⑤</w:t>
            </w:r>
            <w:r>
              <w:rPr>
                <w:rFonts w:ascii="Times New Roman" w:hAnsi="Times New Roman" w:cs="Times New Roman"/>
                <w:sz w:val="24"/>
                <w:szCs w:val="24"/>
              </w:rPr>
              <w:t>须建立危险废物贮存台帐制度，并做好危险废物出入库交接记录。</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⑥</w:t>
            </w:r>
            <w:r>
              <w:rPr>
                <w:rFonts w:ascii="Times New Roman" w:hAnsi="Times New Roman" w:cs="Times New Roman"/>
                <w:sz w:val="24"/>
                <w:szCs w:val="24"/>
              </w:rPr>
              <w:t>不相容的危险废物必须分开存放，并设有隔离间隔断。</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（2）危险废物运输</w:t>
            </w:r>
          </w:p>
          <w:p>
            <w:pPr>
              <w:pStyle w:val="13"/>
              <w:adjustRightInd w:val="0"/>
              <w:snapToGrid w:val="0"/>
              <w:ind w:firstLine="480" w:firstLineChars="200"/>
              <w:rPr>
                <w:rFonts w:ascii="Times New Roman" w:hAnsi="Times New Roman"/>
                <w:b w:val="0"/>
                <w:spacing w:val="-3"/>
                <w:szCs w:val="24"/>
                <w:lang w:eastAsia="zh-CN"/>
              </w:rPr>
            </w:pPr>
            <w:r>
              <w:rPr>
                <w:rFonts w:ascii="Times New Roman" w:hAnsi="Times New Roman"/>
                <w:b w:val="0"/>
                <w:szCs w:val="24"/>
                <w:lang w:eastAsia="zh-CN"/>
              </w:rPr>
              <w:t>本项目危险废物从车间运送到贮存场所，运送过程中危险废物均密封在包装桶</w:t>
            </w:r>
            <w:r>
              <w:rPr>
                <w:rFonts w:ascii="Times New Roman" w:hAnsi="Times New Roman"/>
                <w:b w:val="0"/>
                <w:spacing w:val="-1"/>
                <w:szCs w:val="24"/>
                <w:lang w:eastAsia="zh-CN"/>
              </w:rPr>
              <w:t>内</w:t>
            </w:r>
            <w:r>
              <w:rPr>
                <w:rFonts w:ascii="Times New Roman" w:hAnsi="Times New Roman"/>
                <w:b w:val="0"/>
                <w:szCs w:val="24"/>
                <w:lang w:eastAsia="zh-CN"/>
              </w:rPr>
              <w:t>，并且运送距离较短</w:t>
            </w:r>
            <w:r>
              <w:rPr>
                <w:rFonts w:ascii="Times New Roman" w:hAnsi="Times New Roman"/>
                <w:b w:val="0"/>
                <w:spacing w:val="-17"/>
                <w:szCs w:val="24"/>
                <w:lang w:eastAsia="zh-CN"/>
              </w:rPr>
              <w:t>，</w:t>
            </w:r>
            <w:r>
              <w:rPr>
                <w:rFonts w:ascii="Times New Roman" w:hAnsi="Times New Roman"/>
                <w:b w:val="0"/>
                <w:szCs w:val="24"/>
                <w:lang w:eastAsia="zh-CN"/>
              </w:rPr>
              <w:t>因此危险废物产生散落</w:t>
            </w:r>
            <w:r>
              <w:rPr>
                <w:rFonts w:ascii="Times New Roman" w:hAnsi="Times New Roman"/>
                <w:b w:val="0"/>
                <w:spacing w:val="-17"/>
                <w:szCs w:val="24"/>
                <w:lang w:eastAsia="zh-CN"/>
              </w:rPr>
              <w:t>、</w:t>
            </w:r>
            <w:r>
              <w:rPr>
                <w:rFonts w:ascii="Times New Roman" w:hAnsi="Times New Roman"/>
                <w:b w:val="0"/>
                <w:szCs w:val="24"/>
                <w:lang w:eastAsia="zh-CN"/>
              </w:rPr>
              <w:t>泄漏的可能性很小</w:t>
            </w:r>
            <w:r>
              <w:rPr>
                <w:rFonts w:ascii="Times New Roman" w:hAnsi="Times New Roman"/>
                <w:b w:val="0"/>
                <w:spacing w:val="-17"/>
                <w:szCs w:val="24"/>
                <w:lang w:eastAsia="zh-CN"/>
              </w:rPr>
              <w:t>；</w:t>
            </w:r>
            <w:r>
              <w:rPr>
                <w:rFonts w:ascii="Times New Roman" w:hAnsi="Times New Roman"/>
                <w:b w:val="0"/>
                <w:szCs w:val="24"/>
                <w:lang w:eastAsia="zh-CN"/>
              </w:rPr>
              <w:t>如果万一发生散落或</w:t>
            </w:r>
            <w:r>
              <w:rPr>
                <w:rFonts w:ascii="Times New Roman" w:hAnsi="Times New Roman" w:eastAsia="宋体"/>
                <w:b w:val="0"/>
                <w:szCs w:val="24"/>
                <w:lang w:eastAsia="zh-CN"/>
              </w:rPr>
              <w:t>泄漏</w:t>
            </w:r>
            <w:r>
              <w:rPr>
                <w:rFonts w:ascii="Times New Roman" w:hAnsi="Times New Roman"/>
                <w:b w:val="0"/>
                <w:szCs w:val="24"/>
                <w:lang w:eastAsia="zh-CN"/>
              </w:rPr>
              <w:t>，由于危险废物运输量较少，且厂区地面均为硬化处理，可以确保及时进行收</w:t>
            </w:r>
            <w:r>
              <w:rPr>
                <w:rFonts w:ascii="Times New Roman" w:hAnsi="Times New Roman"/>
                <w:b w:val="0"/>
                <w:spacing w:val="-1"/>
                <w:szCs w:val="24"/>
                <w:lang w:eastAsia="zh-CN"/>
              </w:rPr>
              <w:t>集</w:t>
            </w:r>
            <w:r>
              <w:rPr>
                <w:rFonts w:ascii="Times New Roman" w:hAnsi="Times New Roman"/>
                <w:b w:val="0"/>
                <w:szCs w:val="24"/>
                <w:lang w:eastAsia="zh-CN"/>
              </w:rPr>
              <w:t>，故本项目危险废物在厂内运输过程基本不会对周围环境</w:t>
            </w:r>
            <w:r>
              <w:rPr>
                <w:rFonts w:ascii="Times New Roman" w:hAnsi="Times New Roman"/>
                <w:b w:val="0"/>
                <w:spacing w:val="-1"/>
                <w:szCs w:val="24"/>
                <w:lang w:eastAsia="zh-CN"/>
              </w:rPr>
              <w:t>产生</w:t>
            </w:r>
            <w:r>
              <w:rPr>
                <w:rFonts w:ascii="Times New Roman" w:hAnsi="Times New Roman"/>
                <w:b w:val="0"/>
                <w:spacing w:val="-3"/>
                <w:szCs w:val="24"/>
                <w:lang w:eastAsia="zh-CN"/>
              </w:rPr>
              <w:t>影</w:t>
            </w:r>
            <w:r>
              <w:rPr>
                <w:rFonts w:ascii="Times New Roman" w:hAnsi="Times New Roman" w:eastAsia="宋体"/>
                <w:b w:val="0"/>
                <w:spacing w:val="-3"/>
                <w:szCs w:val="24"/>
                <w:lang w:eastAsia="zh-CN"/>
              </w:rPr>
              <w:t>响。</w:t>
            </w:r>
          </w:p>
          <w:p>
            <w:pPr>
              <w:adjustRightInd w:val="0"/>
              <w:snapToGrid w:val="0"/>
              <w:spacing w:line="360" w:lineRule="auto"/>
              <w:ind w:firstLine="480" w:firstLineChars="200"/>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危险废物的收集应制定详细的操作规程，危险废物收集和转运过程中，应采取相应的安全防护措施和污染防治措施，包括防爆、防火、防中毒、防感染、防泄漏、防飞扬、防雨等，并采用专用容器进行收集；贮存危险废物时应按照危险废物的种类和性质进行分区贮存，设置防雨、防火、防雷、防扬尘装置，并建立危险废物贮存台账制度；危险废物应由具有《危险废物经营许可证》并可以处置该类废物的单位进行处理处置，并严格执行危险废物转移联单制度。在危废的转移处置过程中，应严格按照《中华人民共和国固体废物污染环境防治法》和《危险废物转移联单管理办法》有关规定执行：</w:t>
            </w:r>
          </w:p>
          <w:p>
            <w:pPr>
              <w:adjustRightInd w:val="0"/>
              <w:snapToGrid w:val="0"/>
              <w:spacing w:line="360" w:lineRule="auto"/>
              <w:ind w:firstLine="480" w:firstLineChars="200"/>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①企业必须按照国家有关规定向当地环保主管部门申报登记；</w:t>
            </w:r>
          </w:p>
          <w:p>
            <w:pPr>
              <w:adjustRightInd w:val="0"/>
              <w:snapToGrid w:val="0"/>
              <w:spacing w:line="360" w:lineRule="auto"/>
              <w:ind w:firstLine="480" w:firstLineChars="200"/>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②企业、危废运输单位及危废处置单位必须如实填写危废联单，做好危废转移的记录，记录上必须注明危废的名称、来源、数量、特定和包装容器的类别、入库日期、存放库位、废物出库日期及接收单位名称等内容。</w:t>
            </w:r>
          </w:p>
          <w:p>
            <w:pPr>
              <w:adjustRightInd w:val="0"/>
              <w:snapToGrid w:val="0"/>
              <w:spacing w:line="360" w:lineRule="auto"/>
              <w:ind w:firstLine="480" w:firstLineChars="200"/>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③运输人员必须掌握危险废物运输的安全知识，了解其性质、危险特征、包装容器的使用特性和发生意外的应急措施。运输车辆必须具有车辆危险货物运输许可证。驾驶人员必须由取得驾驶执照的熟练人员担任。危险废物运输时必须配备押运人员，并按照行车路线行驶，不得进入危险化学品运输车辆禁止通过的区域。</w:t>
            </w:r>
          </w:p>
          <w:p>
            <w:pPr>
              <w:pStyle w:val="13"/>
              <w:adjustRightInd w:val="0"/>
              <w:snapToGrid w:val="0"/>
              <w:ind w:firstLine="480" w:firstLineChars="200"/>
              <w:rPr>
                <w:rFonts w:ascii="Times New Roman" w:hAnsi="Times New Roman"/>
                <w:szCs w:val="24"/>
                <w:lang w:eastAsia="zh-CN"/>
              </w:rPr>
            </w:pPr>
            <w:r>
              <w:rPr>
                <w:rFonts w:ascii="Times New Roman" w:hAnsi="Times New Roman" w:eastAsia="宋体"/>
                <w:b w:val="0"/>
                <w:szCs w:val="24"/>
                <w:lang w:eastAsia="zh-CN"/>
              </w:rPr>
              <w:t>（3）</w:t>
            </w:r>
            <w:r>
              <w:rPr>
                <w:rFonts w:ascii="Times New Roman" w:hAnsi="Times New Roman"/>
                <w:b w:val="0"/>
                <w:szCs w:val="24"/>
                <w:lang w:eastAsia="zh-CN"/>
              </w:rPr>
              <w:t>危险废物监管</w:t>
            </w:r>
          </w:p>
          <w:p>
            <w:pPr>
              <w:pStyle w:val="13"/>
              <w:adjustRightInd w:val="0"/>
              <w:snapToGrid w:val="0"/>
              <w:ind w:firstLine="480" w:firstLineChars="200"/>
              <w:rPr>
                <w:rFonts w:ascii="Times New Roman" w:hAnsi="Times New Roman"/>
                <w:szCs w:val="24"/>
                <w:lang w:eastAsia="zh-CN"/>
              </w:rPr>
            </w:pPr>
            <w:r>
              <w:rPr>
                <w:rFonts w:ascii="Times New Roman" w:hAnsi="Times New Roman"/>
                <w:b w:val="0"/>
                <w:szCs w:val="24"/>
                <w:lang w:eastAsia="zh-CN"/>
              </w:rPr>
              <w:t>监管要求</w:t>
            </w:r>
            <w:r>
              <w:rPr>
                <w:rFonts w:hint="eastAsia" w:ascii="Times New Roman" w:hAnsi="Times New Roman" w:eastAsia="宋体"/>
                <w:b w:val="0"/>
                <w:szCs w:val="24"/>
                <w:lang w:eastAsia="zh-CN"/>
              </w:rPr>
              <w:t>：</w:t>
            </w:r>
            <w:r>
              <w:rPr>
                <w:rFonts w:ascii="Times New Roman" w:hAnsi="Times New Roman"/>
                <w:b w:val="0"/>
                <w:szCs w:val="24"/>
                <w:lang w:eastAsia="zh-CN"/>
              </w:rPr>
              <w:t>建设单位运营过程应该对本项目产生的危险废物</w:t>
            </w:r>
            <w:r>
              <w:rPr>
                <w:rFonts w:ascii="Times New Roman" w:hAnsi="Times New Roman"/>
                <w:b w:val="0"/>
                <w:spacing w:val="2"/>
                <w:szCs w:val="24"/>
                <w:lang w:eastAsia="zh-CN"/>
              </w:rPr>
              <w:t>从</w:t>
            </w:r>
            <w:r>
              <w:rPr>
                <w:rFonts w:ascii="Times New Roman" w:hAnsi="Times New Roman"/>
                <w:b w:val="0"/>
                <w:szCs w:val="24"/>
                <w:lang w:eastAsia="zh-CN"/>
              </w:rPr>
              <w:t>收</w:t>
            </w:r>
            <w:r>
              <w:rPr>
                <w:rFonts w:ascii="Times New Roman" w:hAnsi="Times New Roman"/>
                <w:b w:val="0"/>
                <w:spacing w:val="-3"/>
                <w:szCs w:val="24"/>
                <w:lang w:eastAsia="zh-CN"/>
              </w:rPr>
              <w:t>集</w:t>
            </w:r>
            <w:r>
              <w:rPr>
                <w:rFonts w:ascii="Times New Roman" w:hAnsi="Times New Roman"/>
                <w:b w:val="0"/>
                <w:spacing w:val="-12"/>
                <w:szCs w:val="24"/>
                <w:lang w:eastAsia="zh-CN"/>
              </w:rPr>
              <w:t>、</w:t>
            </w:r>
            <w:r>
              <w:rPr>
                <w:rFonts w:ascii="Times New Roman" w:hAnsi="Times New Roman"/>
                <w:b w:val="0"/>
                <w:szCs w:val="24"/>
                <w:lang w:eastAsia="zh-CN"/>
              </w:rPr>
              <w:t>贮存</w:t>
            </w:r>
            <w:r>
              <w:rPr>
                <w:rFonts w:ascii="Times New Roman" w:hAnsi="Times New Roman"/>
                <w:b w:val="0"/>
                <w:spacing w:val="-12"/>
                <w:szCs w:val="24"/>
                <w:lang w:eastAsia="zh-CN"/>
              </w:rPr>
              <w:t>、</w:t>
            </w:r>
            <w:r>
              <w:rPr>
                <w:rFonts w:ascii="Times New Roman" w:hAnsi="Times New Roman"/>
                <w:b w:val="0"/>
                <w:szCs w:val="24"/>
                <w:lang w:eastAsia="zh-CN"/>
              </w:rPr>
              <w:t>运输</w:t>
            </w:r>
            <w:r>
              <w:rPr>
                <w:rFonts w:ascii="Times New Roman" w:hAnsi="Times New Roman"/>
                <w:b w:val="0"/>
                <w:spacing w:val="-12"/>
                <w:szCs w:val="24"/>
                <w:lang w:eastAsia="zh-CN"/>
              </w:rPr>
              <w:t>、</w:t>
            </w:r>
            <w:r>
              <w:rPr>
                <w:rFonts w:ascii="Times New Roman" w:hAnsi="Times New Roman"/>
                <w:b w:val="0"/>
                <w:szCs w:val="24"/>
                <w:lang w:eastAsia="zh-CN"/>
              </w:rPr>
              <w:t>利用</w:t>
            </w:r>
            <w:r>
              <w:rPr>
                <w:rFonts w:ascii="Times New Roman" w:hAnsi="Times New Roman"/>
                <w:b w:val="0"/>
                <w:spacing w:val="-15"/>
                <w:szCs w:val="24"/>
                <w:lang w:eastAsia="zh-CN"/>
              </w:rPr>
              <w:t>、</w:t>
            </w:r>
            <w:r>
              <w:rPr>
                <w:rFonts w:ascii="Times New Roman" w:hAnsi="Times New Roman"/>
                <w:b w:val="0"/>
                <w:szCs w:val="24"/>
                <w:lang w:eastAsia="zh-CN"/>
              </w:rPr>
              <w:t>处置</w:t>
            </w:r>
          </w:p>
          <w:p>
            <w:pPr>
              <w:pStyle w:val="13"/>
              <w:adjustRightInd w:val="0"/>
              <w:snapToGrid w:val="0"/>
              <w:ind w:firstLine="480" w:firstLineChars="200"/>
              <w:rPr>
                <w:szCs w:val="24"/>
                <w:lang w:eastAsia="zh-CN"/>
              </w:rPr>
            </w:pPr>
            <w:r>
              <w:rPr>
                <w:rFonts w:ascii="Times New Roman" w:hAnsi="Times New Roman"/>
                <w:b w:val="0"/>
                <w:szCs w:val="24"/>
                <w:lang w:eastAsia="zh-CN"/>
              </w:rPr>
              <w:t>各环节进行全过程的监管，各环节应严格执行《危险废物收集、贮存、运输技术规</w:t>
            </w:r>
            <w:r>
              <w:rPr>
                <w:rFonts w:ascii="Times New Roman" w:hAnsi="Times New Roman"/>
                <w:b w:val="0"/>
                <w:spacing w:val="-1"/>
                <w:szCs w:val="24"/>
                <w:lang w:eastAsia="zh-CN"/>
              </w:rPr>
              <w:t>范</w:t>
            </w:r>
            <w:r>
              <w:rPr>
                <w:rFonts w:ascii="Times New Roman" w:hAnsi="Times New Roman"/>
                <w:b w:val="0"/>
                <w:szCs w:val="24"/>
                <w:lang w:eastAsia="zh-CN"/>
              </w:rPr>
              <w:t>》</w:t>
            </w:r>
            <w:r>
              <w:rPr>
                <w:b w:val="0"/>
                <w:spacing w:val="2"/>
                <w:szCs w:val="24"/>
                <w:lang w:eastAsia="zh-CN"/>
              </w:rPr>
              <w:t>（</w:t>
            </w:r>
            <w:r>
              <w:rPr>
                <w:rFonts w:ascii="Times New Roman" w:hAnsi="Times New Roman" w:eastAsia="Times New Roman"/>
                <w:b w:val="0"/>
                <w:spacing w:val="-1"/>
                <w:szCs w:val="24"/>
                <w:lang w:eastAsia="zh-CN"/>
              </w:rPr>
              <w:t>H</w:t>
            </w:r>
            <w:r>
              <w:rPr>
                <w:rFonts w:ascii="Times New Roman" w:hAnsi="Times New Roman" w:eastAsia="Times New Roman"/>
                <w:b w:val="0"/>
                <w:szCs w:val="24"/>
                <w:lang w:eastAsia="zh-CN"/>
              </w:rPr>
              <w:t>J2025</w:t>
            </w:r>
            <w:r>
              <w:rPr>
                <w:rFonts w:ascii="Times New Roman" w:hAnsi="Times New Roman" w:eastAsia="Times New Roman"/>
                <w:b w:val="0"/>
                <w:spacing w:val="-1"/>
                <w:szCs w:val="24"/>
                <w:lang w:eastAsia="zh-CN"/>
              </w:rPr>
              <w:t>-</w:t>
            </w:r>
            <w:r>
              <w:rPr>
                <w:rFonts w:ascii="Times New Roman" w:hAnsi="Times New Roman" w:eastAsia="Times New Roman"/>
                <w:b w:val="0"/>
                <w:szCs w:val="24"/>
                <w:lang w:eastAsia="zh-CN"/>
              </w:rPr>
              <w:t>201</w:t>
            </w:r>
            <w:r>
              <w:rPr>
                <w:rFonts w:ascii="Times New Roman" w:hAnsi="Times New Roman" w:eastAsia="Times New Roman"/>
                <w:b w:val="0"/>
                <w:spacing w:val="2"/>
                <w:szCs w:val="24"/>
                <w:lang w:eastAsia="zh-CN"/>
              </w:rPr>
              <w:t>2</w:t>
            </w:r>
            <w:r>
              <w:rPr>
                <w:b w:val="0"/>
                <w:spacing w:val="2"/>
                <w:szCs w:val="24"/>
                <w:lang w:eastAsia="zh-CN"/>
              </w:rPr>
              <w:t>）的相关</w:t>
            </w:r>
            <w:r>
              <w:rPr>
                <w:b w:val="0"/>
                <w:spacing w:val="4"/>
                <w:szCs w:val="24"/>
                <w:lang w:eastAsia="zh-CN"/>
              </w:rPr>
              <w:t>要</w:t>
            </w:r>
            <w:r>
              <w:rPr>
                <w:b w:val="0"/>
                <w:spacing w:val="2"/>
                <w:szCs w:val="24"/>
                <w:lang w:eastAsia="zh-CN"/>
              </w:rPr>
              <w:t>求。危险废物暂存过</w:t>
            </w:r>
            <w:r>
              <w:rPr>
                <w:b w:val="0"/>
                <w:spacing w:val="4"/>
                <w:szCs w:val="24"/>
                <w:lang w:eastAsia="zh-CN"/>
              </w:rPr>
              <w:t>程</w:t>
            </w:r>
            <w:r>
              <w:rPr>
                <w:b w:val="0"/>
                <w:spacing w:val="2"/>
                <w:szCs w:val="24"/>
                <w:lang w:eastAsia="zh-CN"/>
              </w:rPr>
              <w:t>中应满足《危险废</w:t>
            </w:r>
            <w:r>
              <w:rPr>
                <w:b w:val="0"/>
                <w:spacing w:val="4"/>
                <w:szCs w:val="24"/>
                <w:lang w:eastAsia="zh-CN"/>
              </w:rPr>
              <w:t>物</w:t>
            </w:r>
            <w:r>
              <w:rPr>
                <w:b w:val="0"/>
                <w:spacing w:val="2"/>
                <w:szCs w:val="24"/>
                <w:lang w:eastAsia="zh-CN"/>
              </w:rPr>
              <w:t>贮存污染控制</w:t>
            </w:r>
            <w:r>
              <w:rPr>
                <w:b w:val="0"/>
                <w:szCs w:val="24"/>
                <w:lang w:eastAsia="zh-CN"/>
              </w:rPr>
              <w:t>标 准》（</w:t>
            </w:r>
            <w:r>
              <w:rPr>
                <w:rFonts w:ascii="Times New Roman" w:hAnsi="Times New Roman" w:eastAsia="Times New Roman"/>
                <w:b w:val="0"/>
                <w:spacing w:val="-1"/>
                <w:szCs w:val="24"/>
                <w:lang w:eastAsia="zh-CN"/>
              </w:rPr>
              <w:t>G</w:t>
            </w:r>
            <w:r>
              <w:rPr>
                <w:rFonts w:ascii="Times New Roman" w:hAnsi="Times New Roman" w:eastAsia="Times New Roman"/>
                <w:b w:val="0"/>
                <w:spacing w:val="-2"/>
                <w:szCs w:val="24"/>
                <w:lang w:eastAsia="zh-CN"/>
              </w:rPr>
              <w:t>B</w:t>
            </w:r>
            <w:r>
              <w:rPr>
                <w:rFonts w:ascii="Times New Roman" w:hAnsi="Times New Roman" w:eastAsia="Times New Roman"/>
                <w:b w:val="0"/>
                <w:szCs w:val="24"/>
                <w:lang w:eastAsia="zh-CN"/>
              </w:rPr>
              <w:t>18597</w:t>
            </w:r>
            <w:r>
              <w:rPr>
                <w:rFonts w:ascii="Times New Roman" w:hAnsi="Times New Roman" w:eastAsia="Times New Roman"/>
                <w:b w:val="0"/>
                <w:spacing w:val="1"/>
                <w:szCs w:val="24"/>
                <w:lang w:eastAsia="zh-CN"/>
              </w:rPr>
              <w:t>-</w:t>
            </w:r>
            <w:r>
              <w:rPr>
                <w:rFonts w:ascii="Times New Roman" w:hAnsi="Times New Roman" w:eastAsia="Times New Roman"/>
                <w:b w:val="0"/>
                <w:szCs w:val="24"/>
                <w:lang w:eastAsia="zh-CN"/>
              </w:rPr>
              <w:t>2001</w:t>
            </w:r>
            <w:r>
              <w:rPr>
                <w:b w:val="0"/>
                <w:szCs w:val="24"/>
                <w:lang w:eastAsia="zh-CN"/>
              </w:rPr>
              <w:t>）及修改单中的相关规定，危险废物的贮存容器须满足下列要求：</w:t>
            </w:r>
          </w:p>
          <w:p>
            <w:pPr>
              <w:pStyle w:val="13"/>
              <w:adjustRightInd w:val="0"/>
              <w:snapToGrid w:val="0"/>
              <w:ind w:firstLine="480" w:firstLineChars="200"/>
              <w:rPr>
                <w:rFonts w:ascii="Times New Roman" w:hAnsi="Times New Roman"/>
                <w:szCs w:val="24"/>
                <w:lang w:eastAsia="zh-CN"/>
              </w:rPr>
            </w:pPr>
            <w:r>
              <w:rPr>
                <w:rFonts w:ascii="Times New Roman" w:hAnsi="Times New Roman" w:eastAsia="Microsoft YaHei UI"/>
                <w:b w:val="0"/>
                <w:szCs w:val="24"/>
                <w:lang w:eastAsia="zh-CN"/>
              </w:rPr>
              <w:t>①</w:t>
            </w:r>
            <w:r>
              <w:rPr>
                <w:rFonts w:ascii="Times New Roman" w:hAnsi="Times New Roman"/>
                <w:b w:val="0"/>
                <w:szCs w:val="24"/>
                <w:lang w:eastAsia="zh-CN"/>
              </w:rPr>
              <w:t>应当使用符合标准的容器盛装危险废物；</w:t>
            </w:r>
          </w:p>
          <w:p>
            <w:pPr>
              <w:pStyle w:val="13"/>
              <w:adjustRightInd w:val="0"/>
              <w:snapToGrid w:val="0"/>
              <w:ind w:firstLine="480" w:firstLineChars="200"/>
              <w:rPr>
                <w:rFonts w:ascii="Times New Roman" w:hAnsi="Times New Roman"/>
                <w:szCs w:val="24"/>
                <w:lang w:eastAsia="zh-CN"/>
              </w:rPr>
            </w:pPr>
            <w:r>
              <w:rPr>
                <w:rFonts w:ascii="Times New Roman" w:hAnsi="Times New Roman" w:eastAsia="Microsoft YaHei UI"/>
                <w:b w:val="0"/>
                <w:szCs w:val="24"/>
                <w:lang w:eastAsia="zh-CN"/>
              </w:rPr>
              <w:t>②</w:t>
            </w:r>
            <w:r>
              <w:rPr>
                <w:rFonts w:ascii="Times New Roman" w:hAnsi="Times New Roman"/>
                <w:b w:val="0"/>
                <w:szCs w:val="24"/>
                <w:lang w:eastAsia="zh-CN"/>
              </w:rPr>
              <w:t>装载危险废物的容器及材质要满足相应的强度要求；</w:t>
            </w:r>
          </w:p>
          <w:p>
            <w:pPr>
              <w:pStyle w:val="13"/>
              <w:adjustRightInd w:val="0"/>
              <w:snapToGrid w:val="0"/>
              <w:ind w:firstLine="480" w:firstLineChars="200"/>
              <w:rPr>
                <w:rFonts w:ascii="Times New Roman" w:hAnsi="Times New Roman"/>
                <w:szCs w:val="24"/>
                <w:lang w:eastAsia="zh-CN"/>
              </w:rPr>
            </w:pPr>
            <w:r>
              <w:rPr>
                <w:rFonts w:ascii="Times New Roman" w:hAnsi="Times New Roman" w:eastAsia="Microsoft YaHei UI"/>
                <w:b w:val="0"/>
                <w:szCs w:val="24"/>
                <w:lang w:eastAsia="zh-CN"/>
              </w:rPr>
              <w:t>③</w:t>
            </w:r>
            <w:r>
              <w:rPr>
                <w:rFonts w:ascii="Times New Roman" w:hAnsi="Times New Roman"/>
                <w:b w:val="0"/>
                <w:szCs w:val="24"/>
                <w:lang w:eastAsia="zh-CN"/>
              </w:rPr>
              <w:t>装载危险废物的容器必须完好无损；</w:t>
            </w:r>
          </w:p>
          <w:p>
            <w:pPr>
              <w:pStyle w:val="13"/>
              <w:adjustRightInd w:val="0"/>
              <w:snapToGrid w:val="0"/>
              <w:ind w:firstLine="480" w:firstLineChars="200"/>
              <w:rPr>
                <w:rFonts w:ascii="Times New Roman" w:hAnsi="Times New Roman"/>
                <w:szCs w:val="24"/>
                <w:lang w:eastAsia="zh-CN"/>
              </w:rPr>
            </w:pPr>
            <w:r>
              <w:rPr>
                <w:rFonts w:ascii="Times New Roman" w:hAnsi="Times New Roman" w:eastAsia="Microsoft YaHei UI"/>
                <w:b w:val="0"/>
                <w:szCs w:val="24"/>
                <w:lang w:eastAsia="zh-CN"/>
              </w:rPr>
              <w:t>④</w:t>
            </w:r>
            <w:r>
              <w:rPr>
                <w:rFonts w:ascii="Times New Roman" w:hAnsi="Times New Roman"/>
                <w:b w:val="0"/>
                <w:szCs w:val="24"/>
                <w:lang w:eastAsia="zh-CN"/>
              </w:rPr>
              <w:t>盛装危险废物的容器材质和衬里要与危险废物相容（不相互反应）；</w:t>
            </w:r>
          </w:p>
          <w:p>
            <w:pPr>
              <w:pStyle w:val="13"/>
              <w:adjustRightInd w:val="0"/>
              <w:snapToGrid w:val="0"/>
              <w:ind w:firstLine="480" w:firstLineChars="200"/>
              <w:rPr>
                <w:rFonts w:ascii="Times New Roman" w:hAnsi="Times New Roman"/>
                <w:szCs w:val="24"/>
                <w:lang w:eastAsia="zh-CN"/>
              </w:rPr>
            </w:pPr>
            <w:r>
              <w:rPr>
                <w:rFonts w:ascii="Times New Roman" w:hAnsi="Times New Roman" w:eastAsia="Microsoft YaHei UI"/>
                <w:b w:val="0"/>
                <w:szCs w:val="24"/>
                <w:lang w:eastAsia="zh-CN"/>
              </w:rPr>
              <w:t>⑤</w:t>
            </w:r>
            <w:r>
              <w:rPr>
                <w:rFonts w:ascii="Times New Roman" w:hAnsi="Times New Roman"/>
                <w:b w:val="0"/>
                <w:szCs w:val="24"/>
                <w:lang w:eastAsia="zh-CN"/>
              </w:rPr>
              <w:t>盛装危险废物的容器上必须粘贴符合标准所示的标签。</w:t>
            </w:r>
          </w:p>
          <w:p>
            <w:pPr>
              <w:pStyle w:val="13"/>
              <w:adjustRightInd w:val="0"/>
              <w:snapToGrid w:val="0"/>
              <w:ind w:firstLine="480" w:firstLineChars="200"/>
              <w:rPr>
                <w:szCs w:val="24"/>
                <w:lang w:eastAsia="zh-CN"/>
              </w:rPr>
            </w:pPr>
            <w:r>
              <w:rPr>
                <w:rFonts w:ascii="Times New Roman" w:hAnsi="Times New Roman" w:eastAsia="Microsoft YaHei UI"/>
                <w:b w:val="0"/>
                <w:szCs w:val="24"/>
                <w:lang w:eastAsia="zh-CN"/>
              </w:rPr>
              <w:t>⑥</w:t>
            </w:r>
            <w:r>
              <w:rPr>
                <w:rFonts w:ascii="Times New Roman" w:hAnsi="Times New Roman"/>
                <w:b w:val="0"/>
                <w:szCs w:val="24"/>
                <w:lang w:eastAsia="zh-CN"/>
              </w:rPr>
              <w:t>危险废物贮存设施的运行与管理应按照下列要求执行： A.不得将不相容的废物混合或合并存放； B.须做好危险废物情况的记录</w:t>
            </w:r>
            <w:r>
              <w:rPr>
                <w:rFonts w:ascii="Times New Roman" w:hAnsi="Times New Roman"/>
                <w:b w:val="0"/>
                <w:spacing w:val="-12"/>
                <w:szCs w:val="24"/>
                <w:lang w:eastAsia="zh-CN"/>
              </w:rPr>
              <w:t>，</w:t>
            </w:r>
            <w:r>
              <w:rPr>
                <w:rFonts w:ascii="Times New Roman" w:hAnsi="Times New Roman"/>
                <w:b w:val="0"/>
                <w:szCs w:val="24"/>
                <w:lang w:eastAsia="zh-CN"/>
              </w:rPr>
              <w:t>记录上须注明危险废物的名称</w:t>
            </w:r>
            <w:r>
              <w:rPr>
                <w:rFonts w:ascii="Times New Roman" w:hAnsi="Times New Roman"/>
                <w:b w:val="0"/>
                <w:spacing w:val="-12"/>
                <w:szCs w:val="24"/>
                <w:lang w:eastAsia="zh-CN"/>
              </w:rPr>
              <w:t>、</w:t>
            </w:r>
            <w:r>
              <w:rPr>
                <w:rFonts w:ascii="Times New Roman" w:hAnsi="Times New Roman"/>
                <w:b w:val="0"/>
                <w:szCs w:val="24"/>
                <w:lang w:eastAsia="zh-CN"/>
              </w:rPr>
              <w:t>源</w:t>
            </w:r>
            <w:r>
              <w:rPr>
                <w:rFonts w:ascii="Times New Roman" w:hAnsi="Times New Roman"/>
                <w:b w:val="0"/>
                <w:spacing w:val="-12"/>
                <w:szCs w:val="24"/>
                <w:lang w:eastAsia="zh-CN"/>
              </w:rPr>
              <w:t>、</w:t>
            </w:r>
            <w:r>
              <w:rPr>
                <w:rFonts w:ascii="Times New Roman" w:hAnsi="Times New Roman"/>
                <w:b w:val="0"/>
                <w:szCs w:val="24"/>
                <w:lang w:eastAsia="zh-CN"/>
              </w:rPr>
              <w:t>数量</w:t>
            </w:r>
            <w:r>
              <w:rPr>
                <w:rFonts w:ascii="Times New Roman" w:hAnsi="Times New Roman"/>
                <w:b w:val="0"/>
                <w:spacing w:val="-15"/>
                <w:szCs w:val="24"/>
                <w:lang w:eastAsia="zh-CN"/>
              </w:rPr>
              <w:t>、</w:t>
            </w:r>
            <w:r>
              <w:rPr>
                <w:rFonts w:ascii="Times New Roman" w:hAnsi="Times New Roman"/>
                <w:b w:val="0"/>
                <w:szCs w:val="24"/>
                <w:lang w:eastAsia="zh-CN"/>
              </w:rPr>
              <w:t>特性和</w:t>
            </w:r>
            <w:r>
              <w:rPr>
                <w:b w:val="0"/>
                <w:szCs w:val="24"/>
                <w:lang w:eastAsia="zh-CN"/>
              </w:rPr>
              <w:t>包装容器的类别</w:t>
            </w:r>
            <w:r>
              <w:rPr>
                <w:b w:val="0"/>
                <w:spacing w:val="-15"/>
                <w:szCs w:val="24"/>
                <w:lang w:eastAsia="zh-CN"/>
              </w:rPr>
              <w:t>、</w:t>
            </w:r>
            <w:r>
              <w:rPr>
                <w:b w:val="0"/>
                <w:szCs w:val="24"/>
                <w:lang w:eastAsia="zh-CN"/>
              </w:rPr>
              <w:t>入库日</w:t>
            </w:r>
            <w:r>
              <w:rPr>
                <w:b w:val="0"/>
                <w:spacing w:val="2"/>
                <w:szCs w:val="24"/>
                <w:lang w:eastAsia="zh-CN"/>
              </w:rPr>
              <w:t>期</w:t>
            </w:r>
            <w:r>
              <w:rPr>
                <w:b w:val="0"/>
                <w:spacing w:val="-15"/>
                <w:szCs w:val="24"/>
                <w:lang w:eastAsia="zh-CN"/>
              </w:rPr>
              <w:t>、</w:t>
            </w:r>
            <w:r>
              <w:rPr>
                <w:b w:val="0"/>
                <w:szCs w:val="24"/>
                <w:lang w:eastAsia="zh-CN"/>
              </w:rPr>
              <w:t>存放库位</w:t>
            </w:r>
            <w:r>
              <w:rPr>
                <w:b w:val="0"/>
                <w:spacing w:val="-12"/>
                <w:szCs w:val="24"/>
                <w:lang w:eastAsia="zh-CN"/>
              </w:rPr>
              <w:t>、</w:t>
            </w:r>
            <w:r>
              <w:rPr>
                <w:b w:val="0"/>
                <w:szCs w:val="24"/>
                <w:lang w:eastAsia="zh-CN"/>
              </w:rPr>
              <w:t>废物出库日期及接收单位名</w:t>
            </w:r>
            <w:r>
              <w:rPr>
                <w:b w:val="0"/>
                <w:spacing w:val="2"/>
                <w:szCs w:val="24"/>
                <w:lang w:eastAsia="zh-CN"/>
              </w:rPr>
              <w:t>称</w:t>
            </w:r>
            <w:r>
              <w:rPr>
                <w:b w:val="0"/>
                <w:spacing w:val="-15"/>
                <w:szCs w:val="24"/>
                <w:lang w:eastAsia="zh-CN"/>
              </w:rPr>
              <w:t>。</w:t>
            </w:r>
            <w:r>
              <w:rPr>
                <w:b w:val="0"/>
                <w:szCs w:val="24"/>
                <w:lang w:eastAsia="zh-CN"/>
              </w:rPr>
              <w:t>危险废物的记录和货单在危险废物回取后应继续保留三年；C.必须定期对所贮存的危险废物包装容器及贮存设施进行检</w:t>
            </w:r>
            <w:r>
              <w:rPr>
                <w:b w:val="0"/>
                <w:spacing w:val="-1"/>
                <w:szCs w:val="24"/>
                <w:lang w:eastAsia="zh-CN"/>
              </w:rPr>
              <w:t>查</w:t>
            </w:r>
            <w:r>
              <w:rPr>
                <w:b w:val="0"/>
                <w:spacing w:val="-27"/>
                <w:szCs w:val="24"/>
                <w:lang w:eastAsia="zh-CN"/>
              </w:rPr>
              <w:t>，</w:t>
            </w:r>
            <w:r>
              <w:rPr>
                <w:b w:val="0"/>
                <w:szCs w:val="24"/>
                <w:lang w:eastAsia="zh-CN"/>
              </w:rPr>
              <w:t>发现破损</w:t>
            </w:r>
            <w:r>
              <w:rPr>
                <w:b w:val="0"/>
                <w:spacing w:val="-24"/>
                <w:szCs w:val="24"/>
                <w:lang w:eastAsia="zh-CN"/>
              </w:rPr>
              <w:t>，</w:t>
            </w:r>
            <w:r>
              <w:rPr>
                <w:b w:val="0"/>
                <w:szCs w:val="24"/>
                <w:lang w:eastAsia="zh-CN"/>
              </w:rPr>
              <w:t>应及时采取措施清理更换</w:t>
            </w:r>
            <w:r>
              <w:rPr>
                <w:b w:val="0"/>
                <w:spacing w:val="-17"/>
                <w:szCs w:val="24"/>
                <w:lang w:eastAsia="zh-CN"/>
              </w:rPr>
              <w:t>。</w:t>
            </w:r>
            <w:r>
              <w:rPr>
                <w:b w:val="0"/>
                <w:szCs w:val="24"/>
                <w:lang w:eastAsia="zh-CN"/>
              </w:rPr>
              <w:t>本项目运营期产生的危险废物在转移过程中</w:t>
            </w:r>
            <w:r>
              <w:rPr>
                <w:b w:val="0"/>
                <w:spacing w:val="-17"/>
                <w:szCs w:val="24"/>
                <w:lang w:eastAsia="zh-CN"/>
              </w:rPr>
              <w:t>，</w:t>
            </w:r>
            <w:r>
              <w:rPr>
                <w:b w:val="0"/>
                <w:szCs w:val="24"/>
                <w:lang w:eastAsia="zh-CN"/>
              </w:rPr>
              <w:t>应严格执</w:t>
            </w:r>
            <w:r>
              <w:rPr>
                <w:b w:val="0"/>
                <w:spacing w:val="-17"/>
                <w:szCs w:val="24"/>
                <w:lang w:eastAsia="zh-CN"/>
              </w:rPr>
              <w:t>行</w:t>
            </w:r>
            <w:r>
              <w:rPr>
                <w:b w:val="0"/>
                <w:szCs w:val="24"/>
                <w:lang w:eastAsia="zh-CN"/>
              </w:rPr>
              <w:t>《危险废 物转移联单管理办法》（原国家环境保护总局令第</w:t>
            </w:r>
            <w:r>
              <w:rPr>
                <w:b w:val="0"/>
                <w:spacing w:val="-60"/>
                <w:szCs w:val="24"/>
                <w:lang w:eastAsia="zh-CN"/>
              </w:rPr>
              <w:t xml:space="preserve"> </w:t>
            </w:r>
            <w:r>
              <w:rPr>
                <w:rFonts w:ascii="Times New Roman" w:hAnsi="Times New Roman" w:eastAsia="Times New Roman"/>
                <w:b w:val="0"/>
                <w:szCs w:val="24"/>
                <w:lang w:eastAsia="zh-CN"/>
              </w:rPr>
              <w:t xml:space="preserve">5 </w:t>
            </w:r>
            <w:r>
              <w:rPr>
                <w:b w:val="0"/>
                <w:szCs w:val="24"/>
                <w:lang w:eastAsia="zh-CN"/>
              </w:rPr>
              <w:t>号）的相关规定。</w:t>
            </w:r>
          </w:p>
          <w:p>
            <w:pPr>
              <w:pStyle w:val="13"/>
              <w:adjustRightInd w:val="0"/>
              <w:snapToGrid w:val="0"/>
              <w:ind w:firstLine="480" w:firstLineChars="200"/>
              <w:rPr>
                <w:szCs w:val="24"/>
                <w:lang w:eastAsia="zh-CN"/>
              </w:rPr>
            </w:pPr>
            <w:r>
              <w:rPr>
                <w:b w:val="0"/>
                <w:szCs w:val="24"/>
                <w:lang w:eastAsia="zh-CN"/>
              </w:rPr>
              <w:t>综上所述</w:t>
            </w:r>
            <w:r>
              <w:rPr>
                <w:b w:val="0"/>
                <w:spacing w:val="-51"/>
                <w:szCs w:val="24"/>
                <w:lang w:eastAsia="zh-CN"/>
              </w:rPr>
              <w:t>，</w:t>
            </w:r>
            <w:r>
              <w:rPr>
                <w:b w:val="0"/>
                <w:szCs w:val="24"/>
                <w:lang w:eastAsia="zh-CN"/>
              </w:rPr>
              <w:t>在建设单位严格对项目产生的危险废物进行全过程管理并落实相关要求 的条件下，本项目危险废物处理可行、贮存合理，不会对环境造成二次</w:t>
            </w:r>
            <w:r>
              <w:rPr>
                <w:b w:val="0"/>
                <w:spacing w:val="-1"/>
                <w:szCs w:val="24"/>
                <w:lang w:eastAsia="zh-CN"/>
              </w:rPr>
              <w:t>污染</w:t>
            </w:r>
            <w:r>
              <w:rPr>
                <w:b w:val="0"/>
                <w:szCs w:val="24"/>
                <w:lang w:eastAsia="zh-CN"/>
              </w:rPr>
              <w:t>。</w:t>
            </w:r>
          </w:p>
          <w:p>
            <w:pPr>
              <w:pStyle w:val="13"/>
              <w:adjustRightInd w:val="0"/>
              <w:snapToGrid w:val="0"/>
              <w:ind w:firstLine="480" w:firstLineChars="200"/>
              <w:rPr>
                <w:rFonts w:eastAsia="宋体"/>
                <w:szCs w:val="24"/>
                <w:lang w:eastAsia="zh-CN"/>
              </w:rPr>
            </w:pPr>
            <w:r>
              <w:rPr>
                <w:b w:val="0"/>
                <w:szCs w:val="24"/>
                <w:lang w:eastAsia="zh-CN"/>
              </w:rPr>
              <w:t>日常管理要求</w:t>
            </w:r>
            <w:r>
              <w:rPr>
                <w:rFonts w:hint="eastAsia" w:eastAsia="宋体"/>
                <w:b w:val="0"/>
                <w:szCs w:val="24"/>
                <w:lang w:eastAsia="zh-CN"/>
              </w:rPr>
              <w:t>：</w:t>
            </w:r>
          </w:p>
          <w:p>
            <w:pPr>
              <w:pStyle w:val="13"/>
              <w:adjustRightInd w:val="0"/>
              <w:snapToGrid w:val="0"/>
              <w:ind w:firstLine="480" w:firstLineChars="200"/>
              <w:rPr>
                <w:rFonts w:ascii="Times New Roman" w:hAnsi="Times New Roman"/>
                <w:szCs w:val="24"/>
                <w:lang w:eastAsia="zh-CN"/>
              </w:rPr>
            </w:pPr>
            <w:r>
              <w:rPr>
                <w:rFonts w:ascii="Times New Roman" w:hAnsi="Times New Roman" w:eastAsia="Microsoft YaHei UI"/>
                <w:b w:val="0"/>
                <w:szCs w:val="24"/>
                <w:lang w:eastAsia="zh-CN"/>
              </w:rPr>
              <w:t>①</w:t>
            </w:r>
            <w:r>
              <w:rPr>
                <w:rFonts w:ascii="Times New Roman" w:hAnsi="Times New Roman"/>
                <w:b w:val="0"/>
                <w:szCs w:val="24"/>
                <w:lang w:eastAsia="zh-CN"/>
              </w:rPr>
              <w:t>设专职人员负责本厂内的废物管理并对委托的有资质废物处理单位进行监督。</w:t>
            </w:r>
          </w:p>
          <w:p>
            <w:pPr>
              <w:adjustRightInd w:val="0"/>
              <w:snapToGrid w:val="0"/>
              <w:spacing w:line="360" w:lineRule="auto"/>
              <w:ind w:firstLine="480" w:firstLineChars="200"/>
              <w:jc w:val="left"/>
              <w:rPr>
                <w:rFonts w:ascii="Times New Roman" w:hAnsi="Times New Roman" w:cs="Times New Roman" w:eastAsiaTheme="minorEastAsia"/>
                <w:sz w:val="24"/>
                <w:szCs w:val="24"/>
              </w:rPr>
            </w:pPr>
            <w:r>
              <w:rPr>
                <w:rFonts w:ascii="Times New Roman" w:hAnsi="Times New Roman" w:eastAsia="Microsoft YaHei UI" w:cs="Times New Roman"/>
                <w:sz w:val="24"/>
                <w:szCs w:val="24"/>
              </w:rPr>
              <w:t>②</w:t>
            </w:r>
            <w:r>
              <w:rPr>
                <w:rFonts w:ascii="Times New Roman" w:hAnsi="Times New Roman" w:cs="Times New Roman"/>
                <w:sz w:val="24"/>
                <w:szCs w:val="24"/>
              </w:rPr>
              <w:t>对全部废物进行分类界定</w:t>
            </w:r>
            <w:r>
              <w:rPr>
                <w:rFonts w:ascii="Times New Roman" w:hAnsi="Times New Roman" w:cs="Times New Roman"/>
                <w:spacing w:val="-51"/>
                <w:sz w:val="24"/>
                <w:szCs w:val="24"/>
              </w:rPr>
              <w:t>，</w:t>
            </w:r>
            <w:r>
              <w:rPr>
                <w:rFonts w:ascii="Times New Roman" w:hAnsi="Times New Roman" w:cs="Times New Roman"/>
                <w:sz w:val="24"/>
                <w:szCs w:val="24"/>
              </w:rPr>
              <w:t>对列入危险废物名录中的废物登记建帐进行全过程</w:t>
            </w:r>
            <w:r>
              <w:rPr>
                <w:rFonts w:ascii="Times New Roman" w:hAnsi="Times New Roman" w:cs="Times New Roman" w:eastAsiaTheme="minorEastAsia"/>
                <w:sz w:val="24"/>
                <w:szCs w:val="24"/>
              </w:rPr>
              <w:t>监管</w:t>
            </w:r>
          </w:p>
          <w:p>
            <w:pPr>
              <w:pStyle w:val="13"/>
              <w:adjustRightInd w:val="0"/>
              <w:snapToGrid w:val="0"/>
              <w:ind w:firstLine="480" w:firstLineChars="200"/>
              <w:rPr>
                <w:rFonts w:ascii="Times New Roman" w:hAnsi="Times New Roman"/>
                <w:szCs w:val="24"/>
                <w:lang w:eastAsia="zh-CN"/>
              </w:rPr>
            </w:pPr>
            <w:r>
              <w:rPr>
                <w:rFonts w:ascii="Times New Roman" w:hAnsi="Times New Roman" w:eastAsia="宋体"/>
                <w:b w:val="0"/>
                <w:szCs w:val="24"/>
                <w:lang w:eastAsia="zh-CN"/>
              </w:rPr>
              <w:t>③</w:t>
            </w:r>
            <w:r>
              <w:rPr>
                <w:rFonts w:ascii="Times New Roman" w:hAnsi="Times New Roman"/>
                <w:b w:val="0"/>
                <w:szCs w:val="24"/>
                <w:lang w:eastAsia="zh-CN"/>
              </w:rPr>
              <w:t>危险废物的贮存设施必须符合国家标准和有关规</w:t>
            </w:r>
            <w:r>
              <w:rPr>
                <w:rFonts w:ascii="Times New Roman" w:hAnsi="Times New Roman"/>
                <w:b w:val="0"/>
                <w:spacing w:val="-1"/>
                <w:szCs w:val="24"/>
                <w:lang w:eastAsia="zh-CN"/>
              </w:rPr>
              <w:t>定</w:t>
            </w:r>
            <w:r>
              <w:rPr>
                <w:rFonts w:ascii="Times New Roman" w:hAnsi="Times New Roman"/>
                <w:b w:val="0"/>
                <w:spacing w:val="-17"/>
                <w:szCs w:val="24"/>
                <w:lang w:eastAsia="zh-CN"/>
              </w:rPr>
              <w:t>，</w:t>
            </w:r>
            <w:r>
              <w:rPr>
                <w:rFonts w:ascii="Times New Roman" w:hAnsi="Times New Roman"/>
                <w:b w:val="0"/>
                <w:szCs w:val="24"/>
                <w:lang w:eastAsia="zh-CN"/>
              </w:rPr>
              <w:t>有防渗漏</w:t>
            </w:r>
            <w:r>
              <w:rPr>
                <w:rFonts w:ascii="Times New Roman" w:hAnsi="Times New Roman"/>
                <w:b w:val="0"/>
                <w:spacing w:val="-17"/>
                <w:szCs w:val="24"/>
                <w:lang w:eastAsia="zh-CN"/>
              </w:rPr>
              <w:t>、</w:t>
            </w:r>
            <w:r>
              <w:rPr>
                <w:rFonts w:ascii="Times New Roman" w:hAnsi="Times New Roman"/>
                <w:b w:val="0"/>
                <w:szCs w:val="24"/>
                <w:lang w:eastAsia="zh-CN"/>
              </w:rPr>
              <w:t>防雨淋</w:t>
            </w:r>
            <w:r>
              <w:rPr>
                <w:rFonts w:ascii="Times New Roman" w:hAnsi="Times New Roman"/>
                <w:b w:val="0"/>
                <w:spacing w:val="-17"/>
                <w:szCs w:val="24"/>
                <w:lang w:eastAsia="zh-CN"/>
              </w:rPr>
              <w:t>、</w:t>
            </w:r>
            <w:r>
              <w:rPr>
                <w:rFonts w:ascii="Times New Roman" w:hAnsi="Times New Roman"/>
                <w:b w:val="0"/>
                <w:szCs w:val="24"/>
                <w:lang w:eastAsia="zh-CN"/>
              </w:rPr>
              <w:t>防流失 措施，并必须设置识别危险废物的明显标志。</w:t>
            </w:r>
          </w:p>
          <w:p>
            <w:pPr>
              <w:pStyle w:val="13"/>
              <w:adjustRightInd w:val="0"/>
              <w:snapToGrid w:val="0"/>
              <w:ind w:firstLine="480" w:firstLineChars="200"/>
              <w:rPr>
                <w:rFonts w:ascii="Times New Roman" w:hAnsi="Times New Roman"/>
                <w:szCs w:val="24"/>
                <w:lang w:eastAsia="zh-CN"/>
              </w:rPr>
            </w:pPr>
            <w:r>
              <w:rPr>
                <w:rFonts w:ascii="Times New Roman" w:hAnsi="Times New Roman"/>
                <w:b w:val="0"/>
                <w:szCs w:val="24"/>
                <w:lang w:eastAsia="zh-CN"/>
              </w:rPr>
              <w:t>④禁止将危险废物与一般固体废物、生活垃圾及其它废物混合堆放。</w:t>
            </w:r>
          </w:p>
          <w:p>
            <w:pPr>
              <w:pStyle w:val="13"/>
              <w:adjustRightInd w:val="0"/>
              <w:snapToGrid w:val="0"/>
              <w:ind w:firstLine="480" w:firstLineChars="200"/>
              <w:rPr>
                <w:rFonts w:ascii="Times New Roman" w:hAnsi="Times New Roman"/>
                <w:szCs w:val="24"/>
                <w:lang w:eastAsia="zh-CN"/>
              </w:rPr>
            </w:pPr>
            <w:r>
              <w:rPr>
                <w:rFonts w:ascii="Times New Roman" w:hAnsi="Times New Roman" w:eastAsia="Microsoft YaHei UI"/>
                <w:b w:val="0"/>
                <w:szCs w:val="24"/>
                <w:lang w:eastAsia="zh-CN"/>
              </w:rPr>
              <w:t>⑤</w:t>
            </w:r>
            <w:r>
              <w:rPr>
                <w:rFonts w:ascii="Times New Roman" w:hAnsi="Times New Roman"/>
                <w:b w:val="0"/>
                <w:szCs w:val="24"/>
                <w:lang w:eastAsia="zh-CN"/>
              </w:rPr>
              <w:t>定期向环境主管部门汇报固体废物的处置情况</w:t>
            </w:r>
            <w:r>
              <w:rPr>
                <w:rFonts w:ascii="Times New Roman" w:hAnsi="Times New Roman"/>
                <w:b w:val="0"/>
                <w:spacing w:val="-51"/>
                <w:szCs w:val="24"/>
                <w:lang w:eastAsia="zh-CN"/>
              </w:rPr>
              <w:t>，</w:t>
            </w:r>
            <w:r>
              <w:rPr>
                <w:rFonts w:ascii="Times New Roman" w:hAnsi="Times New Roman"/>
                <w:b w:val="0"/>
                <w:szCs w:val="24"/>
                <w:lang w:eastAsia="zh-CN"/>
              </w:rPr>
              <w:t>接受环境主管部门的指导和监督管理。</w:t>
            </w:r>
          </w:p>
          <w:p>
            <w:pPr>
              <w:pStyle w:val="13"/>
              <w:adjustRightInd w:val="0"/>
              <w:snapToGrid w:val="0"/>
              <w:ind w:firstLine="480" w:firstLineChars="200"/>
              <w:rPr>
                <w:szCs w:val="24"/>
                <w:lang w:eastAsia="zh-CN"/>
              </w:rPr>
            </w:pPr>
            <w:r>
              <w:rPr>
                <w:b w:val="0"/>
                <w:szCs w:val="24"/>
                <w:lang w:eastAsia="zh-CN"/>
              </w:rPr>
              <w:t>（</w:t>
            </w:r>
            <w:r>
              <w:rPr>
                <w:rFonts w:ascii="Times New Roman" w:hAnsi="Times New Roman" w:eastAsia="Times New Roman"/>
                <w:b w:val="0"/>
                <w:szCs w:val="24"/>
                <w:lang w:eastAsia="zh-CN"/>
              </w:rPr>
              <w:t>3</w:t>
            </w:r>
            <w:r>
              <w:rPr>
                <w:b w:val="0"/>
                <w:szCs w:val="24"/>
                <w:lang w:eastAsia="zh-CN"/>
              </w:rPr>
              <w:t>）危险废物环境影响分析</w:t>
            </w:r>
          </w:p>
          <w:p>
            <w:pPr>
              <w:pStyle w:val="13"/>
              <w:adjustRightInd w:val="0"/>
              <w:snapToGrid w:val="0"/>
              <w:ind w:firstLine="480" w:firstLineChars="200"/>
              <w:rPr>
                <w:szCs w:val="24"/>
                <w:lang w:eastAsia="zh-CN"/>
              </w:rPr>
            </w:pPr>
            <w:r>
              <w:rPr>
                <w:rFonts w:hint="eastAsia" w:ascii="Times New Roman" w:hAnsi="Times New Roman" w:eastAsia="宋体"/>
                <w:b w:val="0"/>
                <w:szCs w:val="24"/>
                <w:lang w:eastAsia="zh-CN"/>
              </w:rPr>
              <w:t>①</w:t>
            </w:r>
            <w:r>
              <w:rPr>
                <w:b w:val="0"/>
                <w:szCs w:val="24"/>
                <w:lang w:eastAsia="zh-CN"/>
              </w:rPr>
              <w:t>贮存场所环境影响分析 危险废物暂存场所（危废间）设置于生产车间西</w:t>
            </w:r>
            <w:r>
              <w:rPr>
                <w:rFonts w:hint="eastAsia" w:eastAsia="宋体"/>
                <w:b w:val="0"/>
                <w:szCs w:val="24"/>
                <w:lang w:eastAsia="zh-CN"/>
              </w:rPr>
              <w:t>南</w:t>
            </w:r>
            <w:r>
              <w:rPr>
                <w:b w:val="0"/>
                <w:szCs w:val="24"/>
                <w:lang w:eastAsia="zh-CN"/>
              </w:rPr>
              <w:t>侧，应满</w:t>
            </w:r>
            <w:r>
              <w:rPr>
                <w:b w:val="0"/>
                <w:spacing w:val="-1"/>
                <w:szCs w:val="24"/>
                <w:lang w:eastAsia="zh-CN"/>
              </w:rPr>
              <w:t>足</w:t>
            </w:r>
            <w:r>
              <w:rPr>
                <w:rFonts w:ascii="Times New Roman" w:hAnsi="Times New Roman" w:eastAsia="Times New Roman"/>
                <w:b w:val="0"/>
                <w:spacing w:val="-1"/>
                <w:szCs w:val="24"/>
                <w:lang w:eastAsia="zh-CN"/>
              </w:rPr>
              <w:t>“</w:t>
            </w:r>
            <w:r>
              <w:rPr>
                <w:b w:val="0"/>
                <w:szCs w:val="24"/>
                <w:lang w:eastAsia="zh-CN"/>
              </w:rPr>
              <w:t>四防</w:t>
            </w:r>
            <w:r>
              <w:rPr>
                <w:rFonts w:ascii="Times New Roman" w:hAnsi="Times New Roman" w:eastAsia="Times New Roman"/>
                <w:b w:val="0"/>
                <w:spacing w:val="1"/>
                <w:szCs w:val="24"/>
                <w:lang w:eastAsia="zh-CN"/>
              </w:rPr>
              <w:t>”</w:t>
            </w:r>
            <w:r>
              <w:rPr>
                <w:b w:val="0"/>
                <w:szCs w:val="24"/>
                <w:lang w:eastAsia="zh-CN"/>
              </w:rPr>
              <w:t>（防风、防雨、防晒</w:t>
            </w:r>
            <w:r>
              <w:rPr>
                <w:b w:val="0"/>
                <w:spacing w:val="-10"/>
                <w:szCs w:val="24"/>
                <w:lang w:eastAsia="zh-CN"/>
              </w:rPr>
              <w:t>、</w:t>
            </w:r>
            <w:r>
              <w:rPr>
                <w:b w:val="0"/>
                <w:szCs w:val="24"/>
                <w:lang w:eastAsia="zh-CN"/>
              </w:rPr>
              <w:t>防渗漏</w:t>
            </w:r>
            <w:r>
              <w:rPr>
                <w:b w:val="0"/>
                <w:spacing w:val="-12"/>
                <w:szCs w:val="24"/>
                <w:lang w:eastAsia="zh-CN"/>
              </w:rPr>
              <w:t>）</w:t>
            </w:r>
            <w:r>
              <w:rPr>
                <w:b w:val="0"/>
                <w:szCs w:val="24"/>
                <w:lang w:eastAsia="zh-CN"/>
              </w:rPr>
              <w:t>要求</w:t>
            </w:r>
            <w:r>
              <w:rPr>
                <w:b w:val="0"/>
                <w:spacing w:val="-10"/>
                <w:szCs w:val="24"/>
                <w:lang w:eastAsia="zh-CN"/>
              </w:rPr>
              <w:t>，</w:t>
            </w:r>
            <w:r>
              <w:rPr>
                <w:b w:val="0"/>
                <w:szCs w:val="24"/>
                <w:lang w:eastAsia="zh-CN"/>
              </w:rPr>
              <w:t>采取防渗措施和渗漏收集措施</w:t>
            </w:r>
            <w:r>
              <w:rPr>
                <w:b w:val="0"/>
                <w:spacing w:val="-10"/>
                <w:szCs w:val="24"/>
                <w:lang w:eastAsia="zh-CN"/>
              </w:rPr>
              <w:t>，</w:t>
            </w:r>
            <w:r>
              <w:rPr>
                <w:b w:val="0"/>
                <w:szCs w:val="24"/>
                <w:lang w:eastAsia="zh-CN"/>
              </w:rPr>
              <w:t>并设置警示标示</w:t>
            </w:r>
            <w:r>
              <w:rPr>
                <w:b w:val="0"/>
                <w:spacing w:val="-10"/>
                <w:szCs w:val="24"/>
                <w:lang w:eastAsia="zh-CN"/>
              </w:rPr>
              <w:t>。</w:t>
            </w:r>
            <w:r>
              <w:rPr>
                <w:b w:val="0"/>
                <w:szCs w:val="24"/>
                <w:lang w:eastAsia="zh-CN"/>
              </w:rPr>
              <w:t>在采取严格防 治措施的前提下，危险废物贮存场所不会造成不利环境影响。</w:t>
            </w:r>
          </w:p>
          <w:p>
            <w:pPr>
              <w:pStyle w:val="13"/>
              <w:adjustRightInd w:val="0"/>
              <w:snapToGrid w:val="0"/>
              <w:ind w:firstLine="480" w:firstLineChars="200"/>
              <w:rPr>
                <w:szCs w:val="24"/>
                <w:lang w:eastAsia="zh-CN"/>
              </w:rPr>
            </w:pPr>
            <w:r>
              <w:rPr>
                <w:rFonts w:hint="eastAsia" w:ascii="Times New Roman" w:hAnsi="Times New Roman" w:eastAsia="宋体"/>
                <w:b w:val="0"/>
                <w:szCs w:val="24"/>
                <w:lang w:eastAsia="zh-CN"/>
              </w:rPr>
              <w:t>②</w:t>
            </w:r>
            <w:r>
              <w:rPr>
                <w:b w:val="0"/>
                <w:szCs w:val="24"/>
                <w:lang w:eastAsia="zh-CN"/>
              </w:rPr>
              <w:t>运输过程的环境影响分析 本项目危险废物产生及贮存场所均位于生产车间</w:t>
            </w:r>
            <w:r>
              <w:rPr>
                <w:b w:val="0"/>
                <w:spacing w:val="-51"/>
                <w:szCs w:val="24"/>
                <w:lang w:eastAsia="zh-CN"/>
              </w:rPr>
              <w:t>，</w:t>
            </w:r>
            <w:r>
              <w:rPr>
                <w:b w:val="0"/>
                <w:szCs w:val="24"/>
                <w:lang w:eastAsia="zh-CN"/>
              </w:rPr>
              <w:t>生产车间地面及运输通道应采取硬化和防腐防渗措施</w:t>
            </w:r>
            <w:r>
              <w:rPr>
                <w:b w:val="0"/>
                <w:spacing w:val="-51"/>
                <w:szCs w:val="24"/>
                <w:lang w:eastAsia="zh-CN"/>
              </w:rPr>
              <w:t>，</w:t>
            </w:r>
            <w:r>
              <w:rPr>
                <w:b w:val="0"/>
                <w:szCs w:val="24"/>
                <w:lang w:eastAsia="zh-CN"/>
              </w:rPr>
              <w:t>因此危险废物从产生工艺环节运输到暂存场所的过程中产生散落和泄漏均会将影响控制在车间内，不会对周边环境敏感点及地下水环境产生不利影</w:t>
            </w:r>
            <w:r>
              <w:rPr>
                <w:b w:val="0"/>
                <w:spacing w:val="-1"/>
                <w:szCs w:val="24"/>
                <w:lang w:eastAsia="zh-CN"/>
              </w:rPr>
              <w:t>响</w:t>
            </w:r>
            <w:r>
              <w:rPr>
                <w:b w:val="0"/>
                <w:szCs w:val="24"/>
                <w:lang w:eastAsia="zh-CN"/>
              </w:rPr>
              <w:t>。</w:t>
            </w:r>
          </w:p>
          <w:p>
            <w:pPr>
              <w:pStyle w:val="13"/>
              <w:adjustRightInd w:val="0"/>
              <w:snapToGrid w:val="0"/>
              <w:ind w:firstLine="480" w:firstLineChars="200"/>
              <w:rPr>
                <w:szCs w:val="24"/>
                <w:lang w:eastAsia="zh-CN"/>
              </w:rPr>
            </w:pPr>
            <w:r>
              <w:rPr>
                <w:rFonts w:hint="eastAsia" w:ascii="Times New Roman" w:hAnsi="Times New Roman" w:eastAsia="宋体"/>
                <w:b w:val="0"/>
                <w:szCs w:val="24"/>
                <w:lang w:eastAsia="zh-CN"/>
              </w:rPr>
              <w:t xml:space="preserve">③ </w:t>
            </w:r>
            <w:r>
              <w:rPr>
                <w:b w:val="0"/>
                <w:szCs w:val="24"/>
                <w:lang w:eastAsia="zh-CN"/>
              </w:rPr>
              <w:t xml:space="preserve">委托利用或者处置的环境影响分析 </w:t>
            </w:r>
            <w:r>
              <w:rPr>
                <w:b w:val="0"/>
                <w:spacing w:val="4"/>
                <w:szCs w:val="24"/>
                <w:lang w:eastAsia="zh-CN"/>
              </w:rPr>
              <w:t>本</w:t>
            </w:r>
            <w:r>
              <w:rPr>
                <w:b w:val="0"/>
                <w:spacing w:val="7"/>
                <w:szCs w:val="24"/>
                <w:lang w:eastAsia="zh-CN"/>
              </w:rPr>
              <w:t>项</w:t>
            </w:r>
            <w:r>
              <w:rPr>
                <w:b w:val="0"/>
                <w:spacing w:val="4"/>
                <w:szCs w:val="24"/>
                <w:lang w:eastAsia="zh-CN"/>
              </w:rPr>
              <w:t>目危</w:t>
            </w:r>
            <w:r>
              <w:rPr>
                <w:b w:val="0"/>
                <w:spacing w:val="7"/>
                <w:szCs w:val="24"/>
                <w:lang w:eastAsia="zh-CN"/>
              </w:rPr>
              <w:t>险</w:t>
            </w:r>
            <w:r>
              <w:rPr>
                <w:b w:val="0"/>
                <w:spacing w:val="4"/>
                <w:szCs w:val="24"/>
                <w:lang w:eastAsia="zh-CN"/>
              </w:rPr>
              <w:t>废物</w:t>
            </w:r>
            <w:r>
              <w:rPr>
                <w:b w:val="0"/>
                <w:spacing w:val="7"/>
                <w:szCs w:val="24"/>
                <w:lang w:eastAsia="zh-CN"/>
              </w:rPr>
              <w:t>均</w:t>
            </w:r>
            <w:r>
              <w:rPr>
                <w:b w:val="0"/>
                <w:spacing w:val="4"/>
                <w:szCs w:val="24"/>
                <w:lang w:eastAsia="zh-CN"/>
              </w:rPr>
              <w:t>由具</w:t>
            </w:r>
            <w:r>
              <w:rPr>
                <w:b w:val="0"/>
                <w:spacing w:val="7"/>
                <w:szCs w:val="24"/>
                <w:lang w:eastAsia="zh-CN"/>
              </w:rPr>
              <w:t>有</w:t>
            </w:r>
            <w:r>
              <w:rPr>
                <w:b w:val="0"/>
                <w:spacing w:val="4"/>
                <w:szCs w:val="24"/>
                <w:lang w:eastAsia="zh-CN"/>
              </w:rPr>
              <w:t>相应</w:t>
            </w:r>
            <w:r>
              <w:rPr>
                <w:b w:val="0"/>
                <w:spacing w:val="7"/>
                <w:szCs w:val="24"/>
                <w:lang w:eastAsia="zh-CN"/>
              </w:rPr>
              <w:t>处</w:t>
            </w:r>
            <w:r>
              <w:rPr>
                <w:b w:val="0"/>
                <w:spacing w:val="4"/>
                <w:szCs w:val="24"/>
                <w:lang w:eastAsia="zh-CN"/>
              </w:rPr>
              <w:t>理资</w:t>
            </w:r>
            <w:r>
              <w:rPr>
                <w:b w:val="0"/>
                <w:spacing w:val="7"/>
                <w:szCs w:val="24"/>
                <w:lang w:eastAsia="zh-CN"/>
              </w:rPr>
              <w:t>质</w:t>
            </w:r>
            <w:r>
              <w:rPr>
                <w:b w:val="0"/>
                <w:spacing w:val="4"/>
                <w:szCs w:val="24"/>
                <w:lang w:eastAsia="zh-CN"/>
              </w:rPr>
              <w:t>的单</w:t>
            </w:r>
            <w:r>
              <w:rPr>
                <w:b w:val="0"/>
                <w:spacing w:val="7"/>
                <w:szCs w:val="24"/>
                <w:lang w:eastAsia="zh-CN"/>
              </w:rPr>
              <w:t>位</w:t>
            </w:r>
            <w:r>
              <w:rPr>
                <w:b w:val="0"/>
                <w:spacing w:val="4"/>
                <w:szCs w:val="24"/>
                <w:lang w:eastAsia="zh-CN"/>
              </w:rPr>
              <w:t>进行</w:t>
            </w:r>
            <w:r>
              <w:rPr>
                <w:b w:val="0"/>
                <w:spacing w:val="7"/>
                <w:szCs w:val="24"/>
                <w:lang w:eastAsia="zh-CN"/>
              </w:rPr>
              <w:t>处</w:t>
            </w:r>
            <w:r>
              <w:rPr>
                <w:b w:val="0"/>
                <w:spacing w:val="4"/>
                <w:szCs w:val="24"/>
                <w:lang w:eastAsia="zh-CN"/>
              </w:rPr>
              <w:t>置。</w:t>
            </w:r>
            <w:r>
              <w:rPr>
                <w:b w:val="0"/>
                <w:spacing w:val="7"/>
                <w:szCs w:val="24"/>
                <w:lang w:eastAsia="zh-CN"/>
              </w:rPr>
              <w:t>本</w:t>
            </w:r>
            <w:r>
              <w:rPr>
                <w:b w:val="0"/>
                <w:spacing w:val="4"/>
                <w:szCs w:val="24"/>
                <w:lang w:eastAsia="zh-CN"/>
              </w:rPr>
              <w:t>项目</w:t>
            </w:r>
            <w:r>
              <w:rPr>
                <w:b w:val="0"/>
                <w:spacing w:val="7"/>
                <w:szCs w:val="24"/>
                <w:lang w:eastAsia="zh-CN"/>
              </w:rPr>
              <w:t>产</w:t>
            </w:r>
            <w:r>
              <w:rPr>
                <w:b w:val="0"/>
                <w:spacing w:val="4"/>
                <w:szCs w:val="24"/>
                <w:lang w:eastAsia="zh-CN"/>
              </w:rPr>
              <w:t>生的</w:t>
            </w:r>
            <w:r>
              <w:rPr>
                <w:b w:val="0"/>
                <w:spacing w:val="7"/>
                <w:szCs w:val="24"/>
                <w:lang w:eastAsia="zh-CN"/>
              </w:rPr>
              <w:t>危</w:t>
            </w:r>
            <w:r>
              <w:rPr>
                <w:b w:val="0"/>
                <w:spacing w:val="4"/>
                <w:szCs w:val="24"/>
                <w:lang w:eastAsia="zh-CN"/>
              </w:rPr>
              <w:t>险废</w:t>
            </w:r>
            <w:r>
              <w:rPr>
                <w:b w:val="0"/>
                <w:szCs w:val="24"/>
                <w:lang w:eastAsia="zh-CN"/>
              </w:rPr>
              <w:t>物类别均应在相应处理资质的单位的经营范围内</w:t>
            </w:r>
            <w:r>
              <w:rPr>
                <w:b w:val="0"/>
                <w:spacing w:val="-27"/>
                <w:szCs w:val="24"/>
                <w:lang w:eastAsia="zh-CN"/>
              </w:rPr>
              <w:t>，</w:t>
            </w:r>
            <w:r>
              <w:rPr>
                <w:b w:val="0"/>
                <w:szCs w:val="24"/>
                <w:lang w:eastAsia="zh-CN"/>
              </w:rPr>
              <w:t>且危险废物产生量较小</w:t>
            </w:r>
            <w:r>
              <w:rPr>
                <w:b w:val="0"/>
                <w:spacing w:val="-24"/>
                <w:szCs w:val="24"/>
                <w:lang w:eastAsia="zh-CN"/>
              </w:rPr>
              <w:t>，</w:t>
            </w:r>
            <w:r>
              <w:rPr>
                <w:b w:val="0"/>
                <w:szCs w:val="24"/>
                <w:lang w:eastAsia="zh-CN"/>
              </w:rPr>
              <w:t>不会对其处理负荷造成冲击，不会产生显著的环境影响。</w:t>
            </w:r>
          </w:p>
          <w:p>
            <w:pPr>
              <w:adjustRightInd w:val="0"/>
              <w:snapToGrid w:val="0"/>
              <w:spacing w:line="360" w:lineRule="auto"/>
              <w:ind w:firstLine="480" w:firstLineChars="200"/>
              <w:jc w:val="left"/>
              <w:rPr>
                <w:rFonts w:ascii="Times New Roman" w:hAnsi="Times New Roman" w:cs="Times New Roman" w:eastAsiaTheme="minorEastAsia"/>
                <w:sz w:val="24"/>
                <w:szCs w:val="24"/>
              </w:rPr>
            </w:pPr>
            <w:r>
              <w:rPr>
                <w:rFonts w:ascii="Times New Roman" w:hAnsi="Times New Roman" w:cs="Times New Roman"/>
                <w:sz w:val="24"/>
                <w:szCs w:val="24"/>
              </w:rPr>
              <w:t>综上所述</w:t>
            </w:r>
            <w:r>
              <w:rPr>
                <w:rFonts w:ascii="Times New Roman" w:hAnsi="Times New Roman" w:cs="Times New Roman"/>
                <w:spacing w:val="-17"/>
                <w:sz w:val="24"/>
                <w:szCs w:val="24"/>
              </w:rPr>
              <w:t>，</w:t>
            </w:r>
            <w:r>
              <w:rPr>
                <w:rFonts w:ascii="Times New Roman" w:hAnsi="Times New Roman" w:cs="Times New Roman"/>
                <w:sz w:val="24"/>
                <w:szCs w:val="24"/>
              </w:rPr>
              <w:t>在保证对固体废物进行综合利用</w:t>
            </w:r>
            <w:r>
              <w:rPr>
                <w:rFonts w:ascii="Times New Roman" w:hAnsi="Times New Roman" w:cs="Times New Roman"/>
                <w:spacing w:val="-17"/>
                <w:sz w:val="24"/>
                <w:szCs w:val="24"/>
              </w:rPr>
              <w:t>、</w:t>
            </w:r>
            <w:r>
              <w:rPr>
                <w:rFonts w:ascii="Times New Roman" w:hAnsi="Times New Roman" w:cs="Times New Roman"/>
                <w:sz w:val="24"/>
                <w:szCs w:val="24"/>
              </w:rPr>
              <w:t>及时外运</w:t>
            </w:r>
            <w:r>
              <w:rPr>
                <w:rFonts w:ascii="Times New Roman" w:hAnsi="Times New Roman" w:cs="Times New Roman"/>
                <w:spacing w:val="-17"/>
                <w:sz w:val="24"/>
                <w:szCs w:val="24"/>
              </w:rPr>
              <w:t>，</w:t>
            </w:r>
            <w:r>
              <w:rPr>
                <w:rFonts w:ascii="Times New Roman" w:hAnsi="Times New Roman" w:cs="Times New Roman"/>
                <w:sz w:val="24"/>
                <w:szCs w:val="24"/>
              </w:rPr>
              <w:t>危险废物交由有资质单位 处置并完善其在厂内暂存措施的前提下，本项目固体废物不会对外环境产生二次污染</w:t>
            </w:r>
            <w:r>
              <w:rPr>
                <w:rFonts w:ascii="Times New Roman" w:hAnsi="Times New Roman" w:cs="Times New Roman" w:eastAsiaTheme="minorEastAsia"/>
                <w:sz w:val="24"/>
                <w:szCs w:val="24"/>
              </w:rPr>
              <w:t>，对周围环境影响可接受。</w:t>
            </w:r>
          </w:p>
          <w:p>
            <w:pPr>
              <w:pStyle w:val="3"/>
              <w:spacing w:before="114" w:after="114"/>
              <w:rPr>
                <w:lang w:eastAsia="zh-CN"/>
              </w:rPr>
            </w:pPr>
            <w:r>
              <w:rPr>
                <w:rFonts w:hint="eastAsia"/>
                <w:lang w:eastAsia="zh-CN"/>
              </w:rPr>
              <w:t>4、噪声环境影响分析</w:t>
            </w:r>
          </w:p>
          <w:p>
            <w:pPr>
              <w:adjustRightInd w:val="0"/>
              <w:snapToGrid w:val="0"/>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4.1</w:t>
            </w:r>
            <w:r>
              <w:rPr>
                <w:rFonts w:ascii="Times New Roman" w:hAnsi="Times New Roman" w:cs="Times New Roman"/>
                <w:sz w:val="24"/>
                <w:szCs w:val="24"/>
              </w:rPr>
              <w:t>噪声污染源分析</w:t>
            </w:r>
          </w:p>
          <w:p>
            <w:pPr>
              <w:adjustRightInd w:val="0"/>
              <w:snapToGrid w:val="0"/>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项目噪声主要来源于等</w:t>
            </w:r>
            <w:r>
              <w:rPr>
                <w:rFonts w:hint="eastAsia" w:ascii="Times New Roman" w:hAnsi="Times New Roman" w:cs="Times New Roman"/>
                <w:sz w:val="24"/>
                <w:szCs w:val="24"/>
              </w:rPr>
              <w:t>切割锯、</w:t>
            </w:r>
            <w:r>
              <w:rPr>
                <w:rFonts w:ascii="Times New Roman" w:hAnsi="Times New Roman" w:cs="Times New Roman"/>
                <w:sz w:val="24"/>
                <w:szCs w:val="24"/>
              </w:rPr>
              <w:t>离子切割机、剪板机、折弯机</w:t>
            </w:r>
            <w:r>
              <w:rPr>
                <w:rFonts w:hint="eastAsia" w:ascii="Times New Roman" w:hAnsi="Times New Roman" w:cs="Times New Roman"/>
                <w:sz w:val="24"/>
                <w:szCs w:val="24"/>
              </w:rPr>
              <w:t>、台钻、卷板机、打磨机</w:t>
            </w:r>
            <w:r>
              <w:rPr>
                <w:rFonts w:ascii="Times New Roman" w:hAnsi="Times New Roman" w:cs="Times New Roman"/>
                <w:sz w:val="24"/>
                <w:szCs w:val="24"/>
              </w:rPr>
              <w:t>等机械设备噪声及空压机、风机空气动力性噪声，噪声源强为</w:t>
            </w:r>
            <w:r>
              <w:rPr>
                <w:rFonts w:hint="eastAsia" w:ascii="Times New Roman" w:hAnsi="Times New Roman" w:cs="Times New Roman"/>
                <w:sz w:val="24"/>
                <w:szCs w:val="24"/>
              </w:rPr>
              <w:t>75</w:t>
            </w:r>
            <w:r>
              <w:rPr>
                <w:rFonts w:ascii="Times New Roman" w:hAnsi="Times New Roman" w:cs="Times New Roman"/>
                <w:sz w:val="24"/>
                <w:szCs w:val="24"/>
              </w:rPr>
              <w:t>~90dB(A)。项目生产设备优先采用低噪声设备，同时采取室内布置、减振基础等措施对项目噪声进行处理。</w:t>
            </w:r>
          </w:p>
          <w:p>
            <w:pPr>
              <w:adjustRightInd w:val="0"/>
              <w:snapToGrid w:val="0"/>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项目噪声设备源强及防治措施效果见</w:t>
            </w:r>
            <w:r>
              <w:rPr>
                <w:rFonts w:hint="eastAsia" w:ascii="Times New Roman" w:hAnsi="Times New Roman" w:cs="Times New Roman"/>
                <w:sz w:val="24"/>
                <w:szCs w:val="24"/>
              </w:rPr>
              <w:t>表51</w:t>
            </w:r>
            <w:r>
              <w:rPr>
                <w:rFonts w:ascii="Times New Roman" w:hAnsi="Times New Roman" w:cs="Times New Roman"/>
                <w:sz w:val="24"/>
                <w:szCs w:val="24"/>
              </w:rPr>
              <w:t>。</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51</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主要设备噪声强度、防治措施及效果单位：dB（A）</w:t>
            </w:r>
          </w:p>
          <w:tbl>
            <w:tblPr>
              <w:tblStyle w:val="28"/>
              <w:tblW w:w="8586"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319"/>
              <w:gridCol w:w="1674"/>
              <w:gridCol w:w="1110"/>
              <w:gridCol w:w="2128"/>
              <w:gridCol w:w="1244"/>
              <w:gridCol w:w="1111"/>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项目</w:t>
                  </w:r>
                </w:p>
              </w:tc>
              <w:tc>
                <w:tcPr>
                  <w:tcW w:w="1674"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噪声源</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噪声强度</w:t>
                  </w:r>
                </w:p>
              </w:tc>
              <w:tc>
                <w:tcPr>
                  <w:tcW w:w="2128"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防治措施</w:t>
                  </w: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降噪量</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b/>
                      <w:bCs/>
                      <w:kern w:val="0"/>
                      <w:sz w:val="21"/>
                      <w:szCs w:val="21"/>
                    </w:rPr>
                  </w:pPr>
                  <w:r>
                    <w:rPr>
                      <w:rFonts w:ascii="Times New Roman" w:hAnsi="Times New Roman" w:cs="Times New Roman"/>
                      <w:b/>
                      <w:bCs/>
                      <w:kern w:val="0"/>
                      <w:sz w:val="21"/>
                      <w:szCs w:val="21"/>
                    </w:rPr>
                    <w:t>排放噪声</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restart"/>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空气动力性噪声</w:t>
                  </w:r>
                </w:p>
              </w:tc>
              <w:tc>
                <w:tcPr>
                  <w:tcW w:w="167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空压机</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90</w:t>
                  </w:r>
                </w:p>
              </w:tc>
              <w:tc>
                <w:tcPr>
                  <w:tcW w:w="2128" w:type="dxa"/>
                  <w:vMerge w:val="restart"/>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隔声、消声器</w:t>
                  </w: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30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风机</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90</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30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restart"/>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机械噪声</w:t>
                  </w:r>
                </w:p>
              </w:tc>
              <w:tc>
                <w:tcPr>
                  <w:tcW w:w="167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行车（10T）</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2128" w:type="dxa"/>
                  <w:vMerge w:val="restart"/>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减振基础、室内布置</w:t>
                  </w: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行车（5T）</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Cs/>
                      <w:kern w:val="0"/>
                      <w:sz w:val="21"/>
                      <w:szCs w:val="21"/>
                    </w:rPr>
                    <w:t>自动割</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bCs/>
                      <w:kern w:val="0"/>
                      <w:sz w:val="21"/>
                      <w:szCs w:val="21"/>
                    </w:rPr>
                    <w:t>铣床</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车床</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75</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55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color w:val="000000" w:themeColor="text1"/>
                      <w:sz w:val="21"/>
                      <w:szCs w:val="21"/>
                      <w14:textFill>
                        <w14:solidFill>
                          <w14:schemeClr w14:val="tx1"/>
                        </w14:solidFill>
                      </w14:textFill>
                    </w:rPr>
                    <w:t>刨床</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75</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bCs/>
                      <w:kern w:val="0"/>
                      <w:sz w:val="21"/>
                      <w:szCs w:val="21"/>
                    </w:rPr>
                    <w:t>砂轮机</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焊机</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75</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55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磁力钻</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等离子切割机</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ascii="Times New Roman" w:hAnsi="Times New Roman" w:cs="Times New Roman"/>
                      <w:bCs/>
                      <w:kern w:val="0"/>
                      <w:sz w:val="21"/>
                      <w:szCs w:val="21"/>
                    </w:rPr>
                    <w:t>切割机</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80</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ascii="Times New Roman" w:hAnsi="Times New Roman" w:cs="Times New Roman"/>
                      <w:ker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69" w:hRule="atLeast"/>
                <w:jc w:val="center"/>
              </w:trPr>
              <w:tc>
                <w:tcPr>
                  <w:tcW w:w="1319"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674" w:type="dxa"/>
                  <w:tcBorders>
                    <w:tl2br w:val="nil"/>
                    <w:tr2bl w:val="nil"/>
                  </w:tcBorders>
                  <w:vAlign w:val="center"/>
                </w:tcPr>
                <w:p>
                  <w:pPr>
                    <w:spacing w:line="288" w:lineRule="auto"/>
                    <w:jc w:val="center"/>
                    <w:rPr>
                      <w:rFonts w:ascii="Times New Roman" w:hAnsi="Times New Roman" w:cs="Times New Roman"/>
                      <w:bCs/>
                      <w:kern w:val="0"/>
                      <w:sz w:val="21"/>
                      <w:szCs w:val="21"/>
                    </w:rPr>
                  </w:pPr>
                  <w:r>
                    <w:rPr>
                      <w:rFonts w:hint="eastAsia" w:ascii="Times New Roman" w:hAnsi="Times New Roman" w:cs="Times New Roman"/>
                      <w:bCs/>
                      <w:kern w:val="0"/>
                      <w:sz w:val="21"/>
                      <w:szCs w:val="21"/>
                    </w:rPr>
                    <w:t>工业吸尘器</w:t>
                  </w:r>
                </w:p>
              </w:tc>
              <w:tc>
                <w:tcPr>
                  <w:tcW w:w="1110"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85</w:t>
                  </w:r>
                </w:p>
              </w:tc>
              <w:tc>
                <w:tcPr>
                  <w:tcW w:w="2128" w:type="dxa"/>
                  <w:vMerge w:val="continue"/>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p>
              </w:tc>
              <w:tc>
                <w:tcPr>
                  <w:tcW w:w="1244"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20</w:t>
                  </w:r>
                </w:p>
              </w:tc>
              <w:tc>
                <w:tcPr>
                  <w:tcW w:w="1111" w:type="dxa"/>
                  <w:tcBorders>
                    <w:tl2br w:val="nil"/>
                    <w:tr2bl w:val="nil"/>
                  </w:tcBorders>
                  <w:vAlign w:val="center"/>
                </w:tcPr>
                <w:p>
                  <w:pPr>
                    <w:widowControl/>
                    <w:adjustRightInd w:val="0"/>
                    <w:snapToGrid w:val="0"/>
                    <w:spacing w:line="288" w:lineRule="auto"/>
                    <w:jc w:val="center"/>
                    <w:rPr>
                      <w:rFonts w:ascii="Times New Roman" w:hAnsi="Times New Roman" w:cs="Times New Roman"/>
                      <w:kern w:val="0"/>
                      <w:sz w:val="21"/>
                      <w:szCs w:val="21"/>
                    </w:rPr>
                  </w:pPr>
                  <w:r>
                    <w:rPr>
                      <w:rFonts w:hint="eastAsia" w:ascii="Times New Roman" w:hAnsi="Times New Roman" w:cs="Times New Roman"/>
                      <w:kern w:val="0"/>
                      <w:sz w:val="21"/>
                      <w:szCs w:val="21"/>
                    </w:rPr>
                    <w:t>65</w:t>
                  </w:r>
                </w:p>
              </w:tc>
            </w:tr>
          </w:tbl>
          <w:p>
            <w:pPr>
              <w:adjustRightInd w:val="0"/>
              <w:snapToGrid w:val="0"/>
              <w:spacing w:line="360" w:lineRule="auto"/>
              <w:ind w:firstLine="480" w:firstLineChars="200"/>
              <w:textAlignment w:val="baseline"/>
              <w:rPr>
                <w:rFonts w:ascii="Times New Roman" w:hAnsi="Times New Roman" w:cs="Times New Roman"/>
                <w:kern w:val="0"/>
                <w:sz w:val="24"/>
                <w:szCs w:val="20"/>
              </w:rPr>
            </w:pPr>
            <w:r>
              <w:rPr>
                <w:rFonts w:hint="eastAsia" w:ascii="Times New Roman" w:hAnsi="Times New Roman" w:cs="Times New Roman"/>
                <w:kern w:val="0"/>
                <w:sz w:val="24"/>
                <w:szCs w:val="20"/>
              </w:rPr>
              <w:t>4.2</w:t>
            </w:r>
            <w:r>
              <w:rPr>
                <w:rFonts w:ascii="Times New Roman" w:hAnsi="Times New Roman" w:cs="Times New Roman"/>
                <w:kern w:val="0"/>
                <w:sz w:val="24"/>
                <w:szCs w:val="20"/>
              </w:rPr>
              <w:t>预测模式</w:t>
            </w:r>
          </w:p>
          <w:p>
            <w:pPr>
              <w:adjustRightInd w:val="0"/>
              <w:snapToGrid w:val="0"/>
              <w:spacing w:line="360" w:lineRule="auto"/>
              <w:ind w:firstLine="480" w:firstLineChars="200"/>
              <w:textAlignment w:val="baseline"/>
              <w:rPr>
                <w:rFonts w:ascii="Times New Roman" w:hAnsi="Times New Roman" w:cs="Times New Roman"/>
                <w:bCs/>
                <w:kern w:val="0"/>
                <w:sz w:val="24"/>
                <w:szCs w:val="20"/>
              </w:rPr>
            </w:pPr>
            <w:r>
              <w:rPr>
                <w:rFonts w:ascii="Times New Roman" w:hAnsi="Times New Roman" w:cs="Times New Roman"/>
                <w:kern w:val="0"/>
                <w:sz w:val="24"/>
                <w:szCs w:val="20"/>
              </w:rPr>
              <w:t>本次评价选用《环境影响评价技术导则声环境》（HJ2.4-2009）点声源衰减模式进行预测，将</w:t>
            </w:r>
            <w:r>
              <w:rPr>
                <w:rFonts w:ascii="Times New Roman" w:hAnsi="Times New Roman" w:cs="Times New Roman"/>
                <w:bCs/>
                <w:snapToGrid w:val="0"/>
                <w:kern w:val="0"/>
                <w:sz w:val="24"/>
                <w:szCs w:val="24"/>
              </w:rPr>
              <w:t>生产车间的每个设备</w:t>
            </w:r>
            <w:r>
              <w:rPr>
                <w:rFonts w:ascii="Times New Roman" w:hAnsi="Times New Roman" w:cs="Times New Roman"/>
                <w:sz w:val="24"/>
                <w:szCs w:val="20"/>
              </w:rPr>
              <w:t>分别作为一个点声源</w:t>
            </w:r>
            <w:r>
              <w:rPr>
                <w:rFonts w:ascii="Times New Roman" w:hAnsi="Times New Roman" w:cs="Times New Roman"/>
                <w:kern w:val="0"/>
                <w:sz w:val="24"/>
                <w:szCs w:val="20"/>
              </w:rPr>
              <w:t>。预测方法采用多声源至受声点声压级估算方法，先用衰减模式分别计算出每个噪声源对某受声点的声压级，然后再叠加，即得到该点的总声压级。预测公式如下：</w:t>
            </w:r>
          </w:p>
          <w:p>
            <w:pPr>
              <w:widowControl/>
              <w:adjustRightInd w:val="0"/>
              <w:snapToGrid w:val="0"/>
              <w:spacing w:line="360" w:lineRule="auto"/>
              <w:ind w:firstLine="472" w:firstLineChars="197"/>
              <w:jc w:val="left"/>
              <w:rPr>
                <w:rFonts w:ascii="Times New Roman" w:hAnsi="Times New Roman" w:cs="Times New Roman"/>
                <w:bCs/>
                <w:kern w:val="0"/>
                <w:sz w:val="24"/>
                <w:szCs w:val="20"/>
              </w:rPr>
            </w:pPr>
            <w:r>
              <w:rPr>
                <w:rFonts w:ascii="宋体" w:hAnsi="Times New Roman" w:cs="Times New Roman"/>
                <w:kern w:val="0"/>
                <w:sz w:val="24"/>
                <w:szCs w:val="20"/>
              </w:rPr>
              <w:t>①</w:t>
            </w:r>
            <w:r>
              <w:rPr>
                <w:rFonts w:ascii="Times New Roman" w:hAnsi="Times New Roman" w:cs="Times New Roman"/>
                <w:kern w:val="0"/>
                <w:sz w:val="24"/>
                <w:szCs w:val="20"/>
              </w:rPr>
              <w:t>点源</w:t>
            </w:r>
            <w:r>
              <w:rPr>
                <w:rFonts w:ascii="Times New Roman" w:hAnsi="Times New Roman" w:cs="Times New Roman"/>
                <w:bCs/>
                <w:kern w:val="0"/>
                <w:sz w:val="24"/>
                <w:szCs w:val="20"/>
              </w:rPr>
              <w:t>衰减模式：L=L</w:t>
            </w:r>
            <w:r>
              <w:rPr>
                <w:rFonts w:ascii="Times New Roman" w:hAnsi="Times New Roman" w:cs="Times New Roman"/>
                <w:bCs/>
                <w:kern w:val="0"/>
                <w:sz w:val="24"/>
                <w:szCs w:val="20"/>
                <w:vertAlign w:val="subscript"/>
              </w:rPr>
              <w:t>0</w:t>
            </w:r>
            <w:r>
              <w:rPr>
                <w:rFonts w:ascii="Times New Roman" w:hAnsi="Times New Roman" w:cs="Times New Roman"/>
                <w:bCs/>
                <w:kern w:val="0"/>
                <w:sz w:val="24"/>
                <w:szCs w:val="20"/>
              </w:rPr>
              <w:t>-20lg(r/r</w:t>
            </w:r>
            <w:r>
              <w:rPr>
                <w:rFonts w:ascii="Times New Roman" w:hAnsi="Times New Roman" w:cs="Times New Roman"/>
                <w:bCs/>
                <w:kern w:val="0"/>
                <w:sz w:val="24"/>
                <w:szCs w:val="20"/>
                <w:vertAlign w:val="subscript"/>
              </w:rPr>
              <w:t>0</w:t>
            </w:r>
            <w:r>
              <w:rPr>
                <w:rFonts w:ascii="Times New Roman" w:hAnsi="Times New Roman" w:cs="Times New Roman"/>
                <w:bCs/>
                <w:kern w:val="0"/>
                <w:sz w:val="24"/>
                <w:szCs w:val="20"/>
              </w:rPr>
              <w:t>)</w:t>
            </w:r>
          </w:p>
          <w:p>
            <w:pPr>
              <w:widowControl/>
              <w:adjustRightInd w:val="0"/>
              <w:snapToGrid w:val="0"/>
              <w:spacing w:line="360" w:lineRule="auto"/>
              <w:ind w:firstLine="480" w:firstLineChars="200"/>
              <w:jc w:val="left"/>
              <w:rPr>
                <w:rFonts w:ascii="Times New Roman" w:hAnsi="Times New Roman" w:cs="Times New Roman"/>
                <w:bCs/>
                <w:kern w:val="0"/>
                <w:sz w:val="24"/>
                <w:szCs w:val="20"/>
              </w:rPr>
            </w:pPr>
            <w:r>
              <w:rPr>
                <w:rFonts w:ascii="Times New Roman" w:hAnsi="Times New Roman" w:cs="Times New Roman"/>
                <w:bCs/>
                <w:kern w:val="0"/>
                <w:sz w:val="24"/>
                <w:szCs w:val="20"/>
              </w:rPr>
              <w:t>式中：L—受声点的声压级，dB（A）；</w:t>
            </w:r>
          </w:p>
          <w:p>
            <w:pPr>
              <w:widowControl/>
              <w:adjustRightInd w:val="0"/>
              <w:snapToGrid w:val="0"/>
              <w:spacing w:line="360" w:lineRule="auto"/>
              <w:ind w:firstLine="1320" w:firstLineChars="550"/>
              <w:jc w:val="left"/>
              <w:rPr>
                <w:rFonts w:ascii="Times New Roman" w:hAnsi="Times New Roman" w:cs="Times New Roman"/>
                <w:bCs/>
                <w:kern w:val="0"/>
                <w:sz w:val="24"/>
                <w:szCs w:val="20"/>
              </w:rPr>
            </w:pPr>
            <w:r>
              <w:rPr>
                <w:rFonts w:ascii="Times New Roman" w:hAnsi="Times New Roman" w:cs="Times New Roman"/>
                <w:bCs/>
                <w:kern w:val="0"/>
                <w:sz w:val="24"/>
                <w:szCs w:val="20"/>
              </w:rPr>
              <w:t>L</w:t>
            </w:r>
            <w:r>
              <w:rPr>
                <w:rFonts w:ascii="Times New Roman" w:hAnsi="Times New Roman" w:cs="Times New Roman"/>
                <w:bCs/>
                <w:kern w:val="0"/>
                <w:sz w:val="24"/>
                <w:szCs w:val="20"/>
                <w:vertAlign w:val="subscript"/>
              </w:rPr>
              <w:t>0</w:t>
            </w:r>
            <w:r>
              <w:rPr>
                <w:rFonts w:ascii="Times New Roman" w:hAnsi="Times New Roman" w:cs="Times New Roman"/>
                <w:bCs/>
                <w:kern w:val="0"/>
                <w:sz w:val="24"/>
                <w:szCs w:val="20"/>
              </w:rPr>
              <w:t>—厂房外声源源强，dB（A）；</w:t>
            </w:r>
          </w:p>
          <w:p>
            <w:pPr>
              <w:widowControl/>
              <w:adjustRightInd w:val="0"/>
              <w:snapToGrid w:val="0"/>
              <w:spacing w:line="360" w:lineRule="auto"/>
              <w:ind w:firstLine="480" w:firstLineChars="200"/>
              <w:jc w:val="left"/>
              <w:rPr>
                <w:rFonts w:ascii="Times New Roman" w:hAnsi="Times New Roman" w:cs="Times New Roman"/>
                <w:bCs/>
                <w:kern w:val="0"/>
                <w:sz w:val="24"/>
                <w:szCs w:val="20"/>
              </w:rPr>
            </w:pPr>
            <w:r>
              <w:rPr>
                <w:rFonts w:ascii="Times New Roman" w:hAnsi="Times New Roman" w:cs="Times New Roman"/>
                <w:bCs/>
                <w:kern w:val="0"/>
                <w:sz w:val="24"/>
                <w:szCs w:val="20"/>
              </w:rPr>
              <w:t xml:space="preserve">       r—厂房外声源与厂界之间的距离，m；</w:t>
            </w:r>
          </w:p>
          <w:p>
            <w:pPr>
              <w:widowControl/>
              <w:adjustRightInd w:val="0"/>
              <w:snapToGrid w:val="0"/>
              <w:spacing w:line="360" w:lineRule="auto"/>
              <w:ind w:firstLine="480" w:firstLineChars="200"/>
              <w:jc w:val="left"/>
              <w:rPr>
                <w:rFonts w:ascii="Times New Roman" w:hAnsi="Times New Roman" w:cs="Times New Roman"/>
                <w:bCs/>
                <w:kern w:val="0"/>
                <w:sz w:val="24"/>
                <w:szCs w:val="20"/>
              </w:rPr>
            </w:pPr>
            <w:r>
              <w:rPr>
                <w:rFonts w:ascii="Times New Roman" w:hAnsi="Times New Roman" w:cs="Times New Roman"/>
                <w:bCs/>
                <w:kern w:val="0"/>
                <w:sz w:val="24"/>
                <w:szCs w:val="20"/>
              </w:rPr>
              <w:t xml:space="preserve">       r</w:t>
            </w:r>
            <w:r>
              <w:rPr>
                <w:rFonts w:ascii="Times New Roman" w:hAnsi="Times New Roman" w:cs="Times New Roman"/>
                <w:bCs/>
                <w:kern w:val="0"/>
                <w:sz w:val="24"/>
                <w:szCs w:val="20"/>
                <w:vertAlign w:val="subscript"/>
              </w:rPr>
              <w:t>0</w:t>
            </w:r>
            <w:r>
              <w:rPr>
                <w:rFonts w:ascii="Times New Roman" w:hAnsi="Times New Roman" w:cs="Times New Roman"/>
                <w:bCs/>
                <w:kern w:val="0"/>
                <w:sz w:val="24"/>
                <w:szCs w:val="20"/>
              </w:rPr>
              <w:t>—距噪声源距离，取1m。</w:t>
            </w:r>
          </w:p>
          <w:p>
            <w:pPr>
              <w:widowControl/>
              <w:adjustRightInd w:val="0"/>
              <w:snapToGrid w:val="0"/>
              <w:spacing w:line="360" w:lineRule="auto"/>
              <w:ind w:firstLine="480" w:firstLineChars="200"/>
              <w:jc w:val="left"/>
              <w:rPr>
                <w:rFonts w:ascii="Times New Roman" w:hAnsi="Times New Roman" w:cs="Times New Roman"/>
                <w:kern w:val="0"/>
                <w:sz w:val="24"/>
                <w:szCs w:val="20"/>
              </w:rPr>
            </w:pPr>
            <w:r>
              <w:rPr>
                <w:rFonts w:ascii="宋体" w:hAnsi="Times New Roman" w:cs="Times New Roman"/>
                <w:kern w:val="0"/>
                <w:sz w:val="24"/>
                <w:szCs w:val="20"/>
              </w:rPr>
              <w:t>②</w:t>
            </w:r>
            <w:r>
              <w:rPr>
                <w:rFonts w:ascii="Times New Roman" w:hAnsi="Times New Roman" w:cs="Times New Roman"/>
                <w:kern w:val="0"/>
                <w:sz w:val="24"/>
                <w:szCs w:val="20"/>
              </w:rPr>
              <w:t>噪声叠加模式：</w:t>
            </w:r>
            <w:r>
              <w:rPr>
                <w:rFonts w:ascii="Times New Roman" w:hAnsi="Times New Roman" w:cs="Times New Roman"/>
                <w:sz w:val="24"/>
                <w:szCs w:val="20"/>
              </w:rPr>
              <w:t>L</w:t>
            </w:r>
            <w:r>
              <w:rPr>
                <w:rFonts w:ascii="Times New Roman" w:hAnsi="Times New Roman" w:cs="Times New Roman"/>
                <w:sz w:val="24"/>
                <w:szCs w:val="20"/>
                <w:vertAlign w:val="subscript"/>
              </w:rPr>
              <w:t>A</w:t>
            </w:r>
            <w:r>
              <w:rPr>
                <w:rFonts w:ascii="Times New Roman" w:hAnsi="Times New Roman" w:cs="Times New Roman"/>
                <w:sz w:val="24"/>
                <w:szCs w:val="20"/>
              </w:rPr>
              <w:t>=10lg(∑10</w:t>
            </w:r>
            <w:r>
              <w:rPr>
                <w:rFonts w:ascii="Times New Roman" w:hAnsi="Times New Roman" w:cs="Times New Roman"/>
                <w:sz w:val="24"/>
                <w:szCs w:val="20"/>
                <w:vertAlign w:val="superscript"/>
              </w:rPr>
              <w:t>0.1Li</w:t>
            </w:r>
            <w:r>
              <w:rPr>
                <w:rFonts w:ascii="Times New Roman" w:hAnsi="Times New Roman" w:cs="Times New Roman"/>
                <w:sz w:val="24"/>
                <w:szCs w:val="20"/>
              </w:rPr>
              <w:t>)，dB(A)</w:t>
            </w:r>
          </w:p>
          <w:p>
            <w:pPr>
              <w:autoSpaceDE w:val="0"/>
              <w:autoSpaceDN w:val="0"/>
              <w:adjustRightInd w:val="0"/>
              <w:snapToGrid w:val="0"/>
              <w:spacing w:line="360" w:lineRule="auto"/>
              <w:ind w:firstLine="592" w:firstLineChars="247"/>
              <w:jc w:val="left"/>
              <w:rPr>
                <w:rFonts w:ascii="Times New Roman" w:hAnsi="Times New Roman" w:cs="Times New Roman"/>
                <w:kern w:val="0"/>
                <w:sz w:val="24"/>
                <w:szCs w:val="20"/>
              </w:rPr>
            </w:pPr>
            <w:r>
              <w:rPr>
                <w:rFonts w:ascii="Times New Roman" w:hAnsi="Times New Roman" w:cs="Times New Roman"/>
                <w:kern w:val="0"/>
                <w:sz w:val="24"/>
                <w:szCs w:val="20"/>
              </w:rPr>
              <w:t>式中：</w:t>
            </w:r>
            <w:r>
              <w:rPr>
                <w:rFonts w:ascii="Times New Roman" w:hAnsi="Times New Roman" w:cs="Times New Roman"/>
                <w:sz w:val="24"/>
                <w:szCs w:val="20"/>
              </w:rPr>
              <w:t>L</w:t>
            </w:r>
            <w:r>
              <w:rPr>
                <w:rFonts w:ascii="Times New Roman" w:hAnsi="Times New Roman" w:cs="Times New Roman"/>
                <w:sz w:val="24"/>
                <w:szCs w:val="20"/>
                <w:vertAlign w:val="subscript"/>
              </w:rPr>
              <w:t>A</w:t>
            </w:r>
            <w:r>
              <w:rPr>
                <w:rFonts w:ascii="Times New Roman" w:hAnsi="Times New Roman" w:cs="Times New Roman"/>
                <w:kern w:val="0"/>
                <w:sz w:val="24"/>
                <w:szCs w:val="20"/>
              </w:rPr>
              <w:t>—预侧点噪声叠加值，dB（A）；</w:t>
            </w:r>
          </w:p>
          <w:p>
            <w:pPr>
              <w:adjustRightInd w:val="0"/>
              <w:snapToGrid w:val="0"/>
              <w:spacing w:line="360" w:lineRule="auto"/>
              <w:ind w:firstLine="1320" w:firstLineChars="550"/>
              <w:rPr>
                <w:rFonts w:ascii="Times New Roman" w:hAnsi="Times New Roman" w:cs="Times New Roman"/>
                <w:snapToGrid w:val="0"/>
                <w:kern w:val="0"/>
                <w:sz w:val="24"/>
                <w:szCs w:val="24"/>
              </w:rPr>
            </w:pPr>
            <w:r>
              <w:rPr>
                <w:rFonts w:ascii="Times New Roman" w:hAnsi="Times New Roman" w:cs="Times New Roman"/>
                <w:kern w:val="0"/>
                <w:sz w:val="24"/>
                <w:szCs w:val="20"/>
              </w:rPr>
              <w:t>Li—第i个声源的声压级，dB（A）</w:t>
            </w:r>
          </w:p>
          <w:p>
            <w:pPr>
              <w:adjustRightInd w:val="0"/>
              <w:snapToGrid w:val="0"/>
              <w:spacing w:line="360" w:lineRule="auto"/>
              <w:ind w:firstLine="480" w:firstLineChars="200"/>
              <w:rPr>
                <w:rFonts w:ascii="Times New Roman" w:hAnsi="Times New Roman" w:cs="Times New Roman"/>
                <w:snapToGrid w:val="0"/>
                <w:kern w:val="0"/>
                <w:sz w:val="24"/>
                <w:szCs w:val="24"/>
              </w:rPr>
            </w:pPr>
            <w:r>
              <w:rPr>
                <w:rFonts w:hint="eastAsia" w:ascii="Times New Roman" w:hAnsi="Times New Roman" w:cs="Times New Roman"/>
                <w:snapToGrid w:val="0"/>
                <w:kern w:val="0"/>
                <w:sz w:val="24"/>
                <w:szCs w:val="24"/>
              </w:rPr>
              <w:t>4.3</w:t>
            </w:r>
            <w:r>
              <w:rPr>
                <w:rFonts w:ascii="Times New Roman" w:hAnsi="Times New Roman" w:cs="Times New Roman"/>
                <w:snapToGrid w:val="0"/>
                <w:kern w:val="0"/>
                <w:sz w:val="24"/>
                <w:szCs w:val="24"/>
              </w:rPr>
              <w:t>预测内容</w:t>
            </w:r>
          </w:p>
          <w:p>
            <w:pPr>
              <w:widowControl/>
              <w:adjustRightInd w:val="0"/>
              <w:snapToGrid w:val="0"/>
              <w:spacing w:line="360" w:lineRule="auto"/>
              <w:ind w:firstLine="480" w:firstLineChars="200"/>
              <w:jc w:val="left"/>
              <w:rPr>
                <w:rFonts w:ascii="Times New Roman" w:hAnsi="Times New Roman" w:cs="Times New Roman"/>
                <w:kern w:val="0"/>
                <w:sz w:val="24"/>
                <w:szCs w:val="20"/>
              </w:rPr>
            </w:pPr>
            <w:r>
              <w:rPr>
                <w:rFonts w:ascii="Times New Roman" w:hAnsi="Times New Roman" w:cs="Times New Roman"/>
                <w:kern w:val="0"/>
                <w:sz w:val="24"/>
                <w:szCs w:val="20"/>
              </w:rPr>
              <w:t>根据本工程噪声源的分布，项目周边200m范围内无敏感保护目标，因此，本次预测对项目厂界四周噪声排放值进行预测计算。</w:t>
            </w:r>
          </w:p>
          <w:p>
            <w:pPr>
              <w:adjustRightInd w:val="0"/>
              <w:snapToGrid w:val="0"/>
              <w:spacing w:line="360" w:lineRule="auto"/>
              <w:ind w:firstLine="480" w:firstLineChars="200"/>
              <w:rPr>
                <w:rFonts w:ascii="Times New Roman" w:hAnsi="Times New Roman" w:cs="Times New Roman"/>
                <w:snapToGrid w:val="0"/>
                <w:kern w:val="0"/>
                <w:sz w:val="24"/>
                <w:szCs w:val="24"/>
              </w:rPr>
            </w:pPr>
            <w:r>
              <w:rPr>
                <w:rFonts w:ascii="Times New Roman" w:hAnsi="Times New Roman" w:cs="Times New Roman"/>
                <w:snapToGrid w:val="0"/>
                <w:kern w:val="0"/>
                <w:sz w:val="24"/>
                <w:szCs w:val="24"/>
              </w:rPr>
              <w:t>4.4预测结果及评价</w:t>
            </w:r>
          </w:p>
          <w:p>
            <w:pPr>
              <w:widowControl/>
              <w:adjustRightInd w:val="0"/>
              <w:snapToGrid w:val="0"/>
              <w:spacing w:line="360" w:lineRule="auto"/>
              <w:ind w:firstLine="480" w:firstLineChars="200"/>
              <w:jc w:val="left"/>
              <w:rPr>
                <w:rFonts w:ascii="Times New Roman" w:hAnsi="Times New Roman" w:cs="Times New Roman"/>
                <w:kern w:val="0"/>
                <w:sz w:val="24"/>
                <w:szCs w:val="20"/>
              </w:rPr>
            </w:pPr>
            <w:r>
              <w:rPr>
                <w:rFonts w:ascii="Times New Roman" w:hAnsi="Times New Roman" w:cs="Times New Roman"/>
                <w:kern w:val="0"/>
                <w:sz w:val="24"/>
                <w:szCs w:val="20"/>
              </w:rPr>
              <w:t>本项目实行8小时工作制度，夜间不工作，故本评价只对昼间进行环境影响分析，</w:t>
            </w:r>
            <w:r>
              <w:rPr>
                <w:rFonts w:ascii="Times New Roman" w:hAnsi="Times New Roman" w:cs="Times New Roman"/>
                <w:sz w:val="24"/>
                <w:szCs w:val="24"/>
              </w:rPr>
              <w:t>经厂房隔声和距离衰减后，各厂界处的噪声影响值见下表52</w:t>
            </w:r>
            <w:r>
              <w:rPr>
                <w:rFonts w:ascii="Times New Roman" w:hAnsi="Times New Roman" w:cs="Times New Roman"/>
                <w:kern w:val="0"/>
                <w:sz w:val="24"/>
                <w:szCs w:val="20"/>
              </w:rPr>
              <w:t>。</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52</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工程完成后声环境贡献结果统计及分析</w:t>
            </w:r>
          </w:p>
          <w:tbl>
            <w:tblPr>
              <w:tblStyle w:val="28"/>
              <w:tblW w:w="85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737"/>
              <w:gridCol w:w="1613"/>
              <w:gridCol w:w="1550"/>
              <w:gridCol w:w="1562"/>
              <w:gridCol w:w="1184"/>
              <w:gridCol w:w="10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664" w:type="dxa"/>
                  <w:gridSpan w:val="2"/>
                  <w:tcBorders>
                    <w:top w:val="single" w:color="auto" w:sz="12" w:space="0"/>
                  </w:tcBorders>
                  <w:vAlign w:val="center"/>
                </w:tcPr>
                <w:p>
                  <w:pPr>
                    <w:jc w:val="right"/>
                    <w:rPr>
                      <w:rFonts w:ascii="Times New Roman" w:hAnsi="Times New Roman" w:cs="Times New Roman"/>
                      <w:b/>
                      <w:bCs/>
                      <w:sz w:val="21"/>
                      <w:szCs w:val="21"/>
                    </w:rPr>
                  </w:pPr>
                  <w:r>
                    <w:rPr>
                      <w:rFonts w:ascii="Times New Roman" w:hAnsi="Times New Roman" w:cs="Times New Roman"/>
                      <w:b/>
                      <w:bCs/>
                      <w:sz w:val="21"/>
                      <w:szCs w:val="21"/>
                    </w:rPr>
                    <w:t>项目</w:t>
                  </w:r>
                </w:p>
                <w:p>
                  <w:pPr>
                    <w:jc w:val="left"/>
                    <w:rPr>
                      <w:rFonts w:ascii="Times New Roman" w:hAnsi="Times New Roman" w:cs="Times New Roman"/>
                      <w:b/>
                      <w:bCs/>
                      <w:sz w:val="21"/>
                      <w:szCs w:val="21"/>
                    </w:rPr>
                  </w:pPr>
                  <w:r>
                    <w:rPr>
                      <w:rFonts w:ascii="Times New Roman" w:hAnsi="Times New Roman" w:cs="Times New Roman"/>
                      <w:b/>
                      <w:bCs/>
                      <w:sz w:val="21"/>
                      <w:szCs w:val="21"/>
                    </w:rPr>
                    <w:t>预测点位</w:t>
                  </w:r>
                </w:p>
              </w:tc>
              <w:tc>
                <w:tcPr>
                  <w:tcW w:w="1613" w:type="dxa"/>
                  <w:tcBorders>
                    <w:top w:val="single" w:color="auto" w:sz="12" w:space="0"/>
                  </w:tcBorders>
                  <w:vAlign w:val="center"/>
                </w:tcPr>
                <w:p>
                  <w:pPr>
                    <w:jc w:val="center"/>
                    <w:rPr>
                      <w:rFonts w:ascii="Times New Roman" w:hAnsi="Times New Roman" w:cs="Times New Roman"/>
                      <w:b/>
                      <w:bCs/>
                      <w:sz w:val="21"/>
                      <w:szCs w:val="21"/>
                    </w:rPr>
                  </w:pPr>
                  <w:r>
                    <w:rPr>
                      <w:rFonts w:hint="eastAsia" w:ascii="Times New Roman" w:hAnsi="Times New Roman" w:cs="Times New Roman"/>
                      <w:b/>
                      <w:bCs/>
                      <w:sz w:val="21"/>
                      <w:szCs w:val="21"/>
                    </w:rPr>
                    <w:t>背景值</w:t>
                  </w:r>
                  <w:r>
                    <w:rPr>
                      <w:rFonts w:ascii="Times New Roman" w:hAnsi="Times New Roman" w:cs="Times New Roman"/>
                      <w:b/>
                      <w:bCs/>
                      <w:sz w:val="21"/>
                      <w:szCs w:val="21"/>
                    </w:rPr>
                    <w:t>dB（A）</w:t>
                  </w:r>
                </w:p>
              </w:tc>
              <w:tc>
                <w:tcPr>
                  <w:tcW w:w="1550" w:type="dxa"/>
                  <w:tcBorders>
                    <w:top w:val="single" w:color="auto" w:sz="12" w:space="0"/>
                  </w:tcBorders>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贡献值dB（A）</w:t>
                  </w:r>
                </w:p>
              </w:tc>
              <w:tc>
                <w:tcPr>
                  <w:tcW w:w="1562" w:type="dxa"/>
                  <w:tcBorders>
                    <w:top w:val="single" w:color="auto" w:sz="12" w:space="0"/>
                  </w:tcBorders>
                  <w:vAlign w:val="center"/>
                </w:tcPr>
                <w:p>
                  <w:pPr>
                    <w:jc w:val="center"/>
                    <w:rPr>
                      <w:rFonts w:ascii="Times New Roman" w:hAnsi="Times New Roman" w:cs="Times New Roman"/>
                      <w:b/>
                      <w:bCs/>
                      <w:sz w:val="21"/>
                      <w:szCs w:val="21"/>
                    </w:rPr>
                  </w:pPr>
                  <w:r>
                    <w:rPr>
                      <w:rFonts w:hint="eastAsia" w:ascii="Times New Roman" w:hAnsi="Times New Roman" w:cs="Times New Roman"/>
                      <w:b/>
                      <w:bCs/>
                      <w:sz w:val="21"/>
                      <w:szCs w:val="21"/>
                    </w:rPr>
                    <w:t>预测值</w:t>
                  </w:r>
                  <w:r>
                    <w:rPr>
                      <w:rFonts w:ascii="Times New Roman" w:hAnsi="Times New Roman" w:cs="Times New Roman"/>
                      <w:b/>
                      <w:bCs/>
                      <w:sz w:val="21"/>
                      <w:szCs w:val="21"/>
                    </w:rPr>
                    <w:t>dB（A）</w:t>
                  </w:r>
                </w:p>
              </w:tc>
              <w:tc>
                <w:tcPr>
                  <w:tcW w:w="1184" w:type="dxa"/>
                  <w:tcBorders>
                    <w:top w:val="single" w:color="auto" w:sz="12" w:space="0"/>
                  </w:tcBorders>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标准dB（A）</w:t>
                  </w:r>
                </w:p>
              </w:tc>
              <w:tc>
                <w:tcPr>
                  <w:tcW w:w="1013" w:type="dxa"/>
                  <w:tcBorders>
                    <w:top w:val="single" w:color="auto" w:sz="12" w:space="0"/>
                  </w:tcBorders>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达标分析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9" w:hRule="atLeast"/>
              </w:trPr>
              <w:tc>
                <w:tcPr>
                  <w:tcW w:w="927" w:type="dxa"/>
                  <w:vAlign w:val="center"/>
                </w:tcPr>
                <w:p>
                  <w:pPr>
                    <w:jc w:val="center"/>
                    <w:rPr>
                      <w:rFonts w:ascii="Times New Roman" w:hAnsi="Times New Roman" w:cs="Times New Roman"/>
                      <w:sz w:val="21"/>
                      <w:szCs w:val="21"/>
                    </w:rPr>
                  </w:pPr>
                  <w:r>
                    <w:rPr>
                      <w:rFonts w:ascii="Times New Roman" w:hAnsi="Times New Roman" w:cs="Times New Roman"/>
                      <w:sz w:val="21"/>
                      <w:szCs w:val="21"/>
                    </w:rPr>
                    <w:t>东厂界</w:t>
                  </w:r>
                </w:p>
              </w:tc>
              <w:tc>
                <w:tcPr>
                  <w:tcW w:w="7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昼</w:t>
                  </w:r>
                </w:p>
              </w:tc>
              <w:tc>
                <w:tcPr>
                  <w:tcW w:w="1613"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54.70</w:t>
                  </w:r>
                </w:p>
              </w:tc>
              <w:tc>
                <w:tcPr>
                  <w:tcW w:w="1550"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46.87</w:t>
                  </w:r>
                </w:p>
              </w:tc>
              <w:tc>
                <w:tcPr>
                  <w:tcW w:w="1562"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55.36</w:t>
                  </w:r>
                </w:p>
              </w:tc>
              <w:tc>
                <w:tcPr>
                  <w:tcW w:w="1184"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65</w:t>
                  </w:r>
                </w:p>
              </w:tc>
              <w:tc>
                <w:tcPr>
                  <w:tcW w:w="10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9" w:hRule="atLeast"/>
              </w:trPr>
              <w:tc>
                <w:tcPr>
                  <w:tcW w:w="927" w:type="dxa"/>
                  <w:vAlign w:val="center"/>
                </w:tcPr>
                <w:p>
                  <w:pPr>
                    <w:jc w:val="center"/>
                    <w:rPr>
                      <w:rFonts w:ascii="Times New Roman" w:hAnsi="Times New Roman" w:cs="Times New Roman"/>
                      <w:sz w:val="21"/>
                      <w:szCs w:val="21"/>
                    </w:rPr>
                  </w:pPr>
                  <w:r>
                    <w:rPr>
                      <w:rFonts w:ascii="Times New Roman" w:hAnsi="Times New Roman" w:cs="Times New Roman"/>
                      <w:sz w:val="21"/>
                      <w:szCs w:val="21"/>
                    </w:rPr>
                    <w:t>西厂界</w:t>
                  </w:r>
                </w:p>
              </w:tc>
              <w:tc>
                <w:tcPr>
                  <w:tcW w:w="7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昼</w:t>
                  </w:r>
                </w:p>
              </w:tc>
              <w:tc>
                <w:tcPr>
                  <w:tcW w:w="1613"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53.95</w:t>
                  </w:r>
                </w:p>
              </w:tc>
              <w:tc>
                <w:tcPr>
                  <w:tcW w:w="1550"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52.33</w:t>
                  </w:r>
                </w:p>
              </w:tc>
              <w:tc>
                <w:tcPr>
                  <w:tcW w:w="1562"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56.23</w:t>
                  </w:r>
                </w:p>
              </w:tc>
              <w:tc>
                <w:tcPr>
                  <w:tcW w:w="1184"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65</w:t>
                  </w:r>
                </w:p>
              </w:tc>
              <w:tc>
                <w:tcPr>
                  <w:tcW w:w="10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927" w:type="dxa"/>
                  <w:vAlign w:val="center"/>
                </w:tcPr>
                <w:p>
                  <w:pPr>
                    <w:jc w:val="center"/>
                    <w:rPr>
                      <w:rFonts w:ascii="Times New Roman" w:hAnsi="Times New Roman" w:cs="Times New Roman"/>
                      <w:sz w:val="21"/>
                      <w:szCs w:val="21"/>
                    </w:rPr>
                  </w:pPr>
                  <w:r>
                    <w:rPr>
                      <w:rFonts w:ascii="Times New Roman" w:hAnsi="Times New Roman" w:cs="Times New Roman"/>
                      <w:sz w:val="21"/>
                      <w:szCs w:val="21"/>
                    </w:rPr>
                    <w:t>南厂界</w:t>
                  </w:r>
                </w:p>
              </w:tc>
              <w:tc>
                <w:tcPr>
                  <w:tcW w:w="737" w:type="dxa"/>
                  <w:vAlign w:val="center"/>
                </w:tcPr>
                <w:p>
                  <w:pPr>
                    <w:jc w:val="center"/>
                    <w:rPr>
                      <w:rFonts w:ascii="Times New Roman" w:hAnsi="Times New Roman" w:cs="Times New Roman"/>
                      <w:sz w:val="21"/>
                      <w:szCs w:val="21"/>
                    </w:rPr>
                  </w:pPr>
                  <w:r>
                    <w:rPr>
                      <w:rFonts w:ascii="Times New Roman" w:hAnsi="Times New Roman" w:cs="Times New Roman"/>
                      <w:sz w:val="21"/>
                      <w:szCs w:val="21"/>
                    </w:rPr>
                    <w:t>昼</w:t>
                  </w:r>
                </w:p>
              </w:tc>
              <w:tc>
                <w:tcPr>
                  <w:tcW w:w="1613"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55.85</w:t>
                  </w:r>
                </w:p>
              </w:tc>
              <w:tc>
                <w:tcPr>
                  <w:tcW w:w="1550"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44.37</w:t>
                  </w:r>
                </w:p>
              </w:tc>
              <w:tc>
                <w:tcPr>
                  <w:tcW w:w="1562"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56.15</w:t>
                  </w:r>
                </w:p>
              </w:tc>
              <w:tc>
                <w:tcPr>
                  <w:tcW w:w="1184"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65</w:t>
                  </w:r>
                </w:p>
              </w:tc>
              <w:tc>
                <w:tcPr>
                  <w:tcW w:w="1013" w:type="dxa"/>
                  <w:vAlign w:val="center"/>
                </w:tcPr>
                <w:p>
                  <w:pPr>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927" w:type="dxa"/>
                  <w:tcBorders>
                    <w:bottom w:val="single" w:color="auto" w:sz="1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北厂界</w:t>
                  </w:r>
                </w:p>
              </w:tc>
              <w:tc>
                <w:tcPr>
                  <w:tcW w:w="737" w:type="dxa"/>
                  <w:tcBorders>
                    <w:bottom w:val="single" w:color="auto" w:sz="1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昼</w:t>
                  </w:r>
                </w:p>
              </w:tc>
              <w:tc>
                <w:tcPr>
                  <w:tcW w:w="1613" w:type="dxa"/>
                  <w:tcBorders>
                    <w:bottom w:val="single" w:color="auto" w:sz="12" w:space="0"/>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54.1</w:t>
                  </w:r>
                </w:p>
              </w:tc>
              <w:tc>
                <w:tcPr>
                  <w:tcW w:w="1550" w:type="dxa"/>
                  <w:tcBorders>
                    <w:bottom w:val="single" w:color="auto" w:sz="12" w:space="0"/>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53.49</w:t>
                  </w:r>
                </w:p>
              </w:tc>
              <w:tc>
                <w:tcPr>
                  <w:tcW w:w="1562" w:type="dxa"/>
                  <w:tcBorders>
                    <w:bottom w:val="single" w:color="auto" w:sz="12" w:space="0"/>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56.82</w:t>
                  </w:r>
                </w:p>
              </w:tc>
              <w:tc>
                <w:tcPr>
                  <w:tcW w:w="1184" w:type="dxa"/>
                  <w:tcBorders>
                    <w:bottom w:val="single" w:color="auto" w:sz="12" w:space="0"/>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65</w:t>
                  </w:r>
                </w:p>
              </w:tc>
              <w:tc>
                <w:tcPr>
                  <w:tcW w:w="1013" w:type="dxa"/>
                  <w:tcBorders>
                    <w:bottom w:val="single" w:color="auto" w:sz="12"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达标</w:t>
                  </w:r>
                </w:p>
              </w:tc>
            </w:tr>
          </w:tbl>
          <w:p>
            <w:pPr>
              <w:adjustRightInd w:val="0"/>
              <w:snapToGrid w:val="0"/>
              <w:spacing w:before="190" w:beforeLines="50" w:line="360" w:lineRule="auto"/>
              <w:ind w:firstLine="470" w:firstLineChars="196"/>
              <w:rPr>
                <w:rFonts w:ascii="Times New Roman" w:hAnsi="Times New Roman" w:cs="Times New Roman"/>
                <w:sz w:val="24"/>
                <w:szCs w:val="20"/>
              </w:rPr>
            </w:pPr>
            <w:r>
              <w:rPr>
                <w:rFonts w:ascii="Times New Roman" w:hAnsi="Times New Roman" w:cs="Times New Roman"/>
                <w:sz w:val="24"/>
                <w:szCs w:val="20"/>
              </w:rPr>
              <w:t>由以上预测结果可知，项目营运期噪声经隔声、减振及距离衰减后，项目东、南、西、北四厂界昼间噪声值均可以满足《工业企业厂界环境噪声排放标准》（GB12348-2008）中的</w:t>
            </w:r>
            <w:r>
              <w:rPr>
                <w:rFonts w:hint="eastAsia" w:ascii="Times New Roman" w:hAnsi="Times New Roman" w:cs="Times New Roman"/>
                <w:sz w:val="24"/>
                <w:szCs w:val="20"/>
              </w:rPr>
              <w:t>3类</w:t>
            </w:r>
            <w:r>
              <w:rPr>
                <w:rFonts w:ascii="Times New Roman" w:hAnsi="Times New Roman" w:cs="Times New Roman"/>
                <w:sz w:val="24"/>
                <w:szCs w:val="20"/>
              </w:rPr>
              <w:t>标准（昼间≤</w:t>
            </w:r>
            <w:r>
              <w:rPr>
                <w:rFonts w:hint="eastAsia" w:ascii="Times New Roman" w:hAnsi="Times New Roman" w:cs="Times New Roman"/>
                <w:sz w:val="24"/>
                <w:szCs w:val="20"/>
              </w:rPr>
              <w:t>65dB</w:t>
            </w:r>
            <w:r>
              <w:rPr>
                <w:rFonts w:ascii="Times New Roman" w:hAnsi="Times New Roman" w:cs="Times New Roman"/>
                <w:sz w:val="24"/>
                <w:szCs w:val="20"/>
              </w:rPr>
              <w:t>（A）），能够满足《</w:t>
            </w:r>
            <w:r>
              <w:rPr>
                <w:rFonts w:ascii="Times New Roman" w:hAnsi="Times New Roman" w:cs="Times New Roman"/>
                <w:sz w:val="24"/>
              </w:rPr>
              <w:t>声环境质量标准》(GB3096-2008)</w:t>
            </w:r>
            <w:r>
              <w:rPr>
                <w:rFonts w:hint="eastAsia" w:ascii="Times New Roman" w:hAnsi="Times New Roman" w:cs="Times New Roman"/>
                <w:sz w:val="24"/>
              </w:rPr>
              <w:t>3类</w:t>
            </w:r>
            <w:r>
              <w:rPr>
                <w:rFonts w:ascii="Times New Roman" w:hAnsi="Times New Roman" w:cs="Times New Roman"/>
                <w:sz w:val="24"/>
              </w:rPr>
              <w:t>标准要求。</w:t>
            </w:r>
          </w:p>
          <w:p>
            <w:pPr>
              <w:adjustRightInd w:val="0"/>
              <w:snapToGrid w:val="0"/>
              <w:spacing w:line="360" w:lineRule="auto"/>
              <w:ind w:firstLine="480" w:firstLineChars="200"/>
              <w:textAlignment w:val="baseline"/>
              <w:rPr>
                <w:rFonts w:ascii="Times New Roman" w:hAnsi="Times New Roman" w:cs="Times New Roman"/>
                <w:kern w:val="0"/>
                <w:sz w:val="24"/>
                <w:szCs w:val="20"/>
              </w:rPr>
            </w:pPr>
            <w:r>
              <w:rPr>
                <w:rFonts w:ascii="Times New Roman" w:hAnsi="Times New Roman" w:cs="Times New Roman"/>
                <w:kern w:val="0"/>
                <w:sz w:val="24"/>
                <w:szCs w:val="20"/>
              </w:rPr>
              <w:t>综上所述，项目噪声对周围声环境及周围敏感点影响较小。</w:t>
            </w:r>
          </w:p>
          <w:p>
            <w:pPr>
              <w:pStyle w:val="3"/>
              <w:spacing w:before="114" w:after="114"/>
              <w:rPr>
                <w:lang w:eastAsia="zh-CN"/>
              </w:rPr>
            </w:pPr>
            <w:r>
              <w:rPr>
                <w:rFonts w:hint="eastAsia"/>
                <w:lang w:eastAsia="zh-CN"/>
              </w:rPr>
              <w:t>5、土壤环境影响分析</w:t>
            </w:r>
          </w:p>
          <w:p>
            <w:pPr>
              <w:adjustRightInd w:val="0"/>
              <w:snapToGrid w:val="0"/>
              <w:spacing w:line="360" w:lineRule="auto"/>
              <w:ind w:firstLine="480" w:firstLineChars="200"/>
              <w:textAlignment w:val="baseline"/>
              <w:rPr>
                <w:rFonts w:ascii="Times New Roman" w:hAnsi="Times New Roman" w:cs="Times New Roman"/>
                <w:kern w:val="0"/>
                <w:sz w:val="24"/>
                <w:szCs w:val="20"/>
              </w:rPr>
            </w:pPr>
            <w:r>
              <w:rPr>
                <w:rFonts w:hint="eastAsia" w:ascii="Times New Roman" w:hAnsi="Times New Roman" w:cs="Times New Roman"/>
                <w:kern w:val="0"/>
                <w:sz w:val="24"/>
                <w:szCs w:val="20"/>
              </w:rPr>
              <w:t>5.1</w:t>
            </w:r>
            <w:r>
              <w:rPr>
                <w:rFonts w:ascii="Times New Roman" w:hAnsi="Times New Roman" w:cs="Times New Roman"/>
                <w:kern w:val="0"/>
                <w:sz w:val="24"/>
                <w:szCs w:val="20"/>
              </w:rPr>
              <w:t>评价工作等级的判定</w:t>
            </w:r>
          </w:p>
          <w:p>
            <w:pPr>
              <w:adjustRightInd w:val="0"/>
              <w:snapToGrid w:val="0"/>
              <w:spacing w:line="360" w:lineRule="auto"/>
              <w:ind w:firstLine="480" w:firstLineChars="200"/>
              <w:textAlignment w:val="baseline"/>
              <w:rPr>
                <w:rFonts w:ascii="Times New Roman" w:hAnsi="Times New Roman" w:cs="Times New Roman"/>
                <w:kern w:val="0"/>
                <w:sz w:val="24"/>
                <w:szCs w:val="20"/>
              </w:rPr>
            </w:pPr>
            <w:r>
              <w:rPr>
                <w:rFonts w:ascii="Times New Roman" w:hAnsi="Times New Roman" w:cs="Times New Roman"/>
                <w:kern w:val="0"/>
                <w:sz w:val="24"/>
                <w:szCs w:val="20"/>
              </w:rPr>
              <w:t>根据《环境影响评价技术导则 土壤环境（试行）》（HJ964-2018）</w:t>
            </w:r>
            <w:r>
              <w:rPr>
                <w:rFonts w:hint="eastAsia" w:ascii="Times New Roman" w:hAnsi="Times New Roman" w:cs="Times New Roman"/>
                <w:kern w:val="0"/>
                <w:sz w:val="24"/>
                <w:szCs w:val="20"/>
              </w:rPr>
              <w:t>，</w:t>
            </w:r>
            <w:r>
              <w:rPr>
                <w:rFonts w:ascii="Times New Roman" w:hAnsi="Times New Roman" w:cs="Times New Roman"/>
                <w:kern w:val="0"/>
                <w:sz w:val="24"/>
                <w:szCs w:val="20"/>
              </w:rPr>
              <w:t>建设项目土壤环境影响类型为污染影响性</w:t>
            </w:r>
            <w:r>
              <w:rPr>
                <w:rFonts w:hint="eastAsia" w:ascii="Times New Roman" w:hAnsi="Times New Roman" w:cs="Times New Roman"/>
                <w:kern w:val="0"/>
                <w:sz w:val="24"/>
                <w:szCs w:val="20"/>
              </w:rPr>
              <w:t>；</w:t>
            </w:r>
            <w:r>
              <w:rPr>
                <w:rFonts w:ascii="Times New Roman" w:hAnsi="Times New Roman" w:cs="Times New Roman"/>
                <w:kern w:val="0"/>
                <w:sz w:val="24"/>
                <w:szCs w:val="20"/>
              </w:rPr>
              <w:t>评价等级划分依据，建设项目评价等级由项目类别和环境敏感程度共同判定：</w:t>
            </w:r>
          </w:p>
          <w:p>
            <w:pPr>
              <w:adjustRightInd w:val="0"/>
              <w:snapToGrid w:val="0"/>
              <w:spacing w:line="360" w:lineRule="auto"/>
              <w:ind w:firstLine="480" w:firstLineChars="200"/>
              <w:textAlignment w:val="baseline"/>
              <w:rPr>
                <w:rFonts w:ascii="Times New Roman" w:hAnsi="Times New Roman" w:cs="Times New Roman"/>
                <w:kern w:val="0"/>
                <w:sz w:val="24"/>
                <w:szCs w:val="20"/>
              </w:rPr>
            </w:pPr>
            <w:r>
              <w:rPr>
                <w:rFonts w:ascii="Times New Roman" w:hAnsi="Times New Roman" w:cs="Times New Roman"/>
                <w:kern w:val="0"/>
                <w:sz w:val="24"/>
                <w:szCs w:val="20"/>
              </w:rPr>
              <w:t>①建设项目占地规模：大型（≥50h</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kern w:val="0"/>
                <w:sz w:val="24"/>
                <w:szCs w:val="20"/>
              </w:rPr>
              <w:t>）、中型（5-50h</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kern w:val="0"/>
                <w:sz w:val="24"/>
                <w:szCs w:val="20"/>
              </w:rPr>
              <w:t>）、小型（≤5h</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kern w:val="0"/>
                <w:sz w:val="24"/>
                <w:szCs w:val="20"/>
              </w:rPr>
              <w:t>）。本项目</w:t>
            </w:r>
            <w:r>
              <w:rPr>
                <w:rFonts w:hint="eastAsia" w:ascii="Times New Roman" w:hAnsi="Times New Roman" w:cs="Times New Roman"/>
                <w:kern w:val="0"/>
                <w:sz w:val="24"/>
                <w:szCs w:val="20"/>
              </w:rPr>
              <w:t>厂区占地5052</w:t>
            </w:r>
            <w:r>
              <w:rPr>
                <w:rFonts w:ascii="Times New Roman" w:hAnsi="Times New Roman" w:cs="Times New Roman"/>
                <w:sz w:val="24"/>
              </w:rPr>
              <w:t>m</w:t>
            </w:r>
            <w:r>
              <w:rPr>
                <w:rFonts w:ascii="Times New Roman" w:hAnsi="Times New Roman" w:cs="Times New Roman"/>
                <w:sz w:val="24"/>
                <w:vertAlign w:val="superscript"/>
              </w:rPr>
              <w:t>2</w:t>
            </w:r>
            <w:r>
              <w:rPr>
                <w:rFonts w:hint="eastAsia" w:ascii="Times New Roman" w:hAnsi="Times New Roman" w:cs="Times New Roman"/>
                <w:kern w:val="0"/>
                <w:sz w:val="24"/>
                <w:szCs w:val="20"/>
              </w:rPr>
              <w:t>，即0.51h</w:t>
            </w:r>
            <w:r>
              <w:rPr>
                <w:rFonts w:ascii="Times New Roman" w:hAnsi="Times New Roman" w:cs="Times New Roman"/>
                <w:sz w:val="24"/>
              </w:rPr>
              <w:t>m</w:t>
            </w:r>
            <w:r>
              <w:rPr>
                <w:rFonts w:ascii="Times New Roman" w:hAnsi="Times New Roman" w:cs="Times New Roman"/>
                <w:sz w:val="24"/>
                <w:vertAlign w:val="superscript"/>
              </w:rPr>
              <w:t>2</w:t>
            </w:r>
            <w:r>
              <w:rPr>
                <w:rFonts w:ascii="Times New Roman" w:hAnsi="Times New Roman" w:cs="Times New Roman"/>
                <w:kern w:val="0"/>
                <w:sz w:val="24"/>
                <w:szCs w:val="20"/>
              </w:rPr>
              <w:t>，占地规模属于小型。</w:t>
            </w:r>
          </w:p>
          <w:p>
            <w:pPr>
              <w:adjustRightInd w:val="0"/>
              <w:snapToGrid w:val="0"/>
              <w:spacing w:line="360" w:lineRule="auto"/>
              <w:ind w:firstLine="480" w:firstLineChars="200"/>
              <w:textAlignment w:val="baseline"/>
              <w:rPr>
                <w:rFonts w:ascii="Times New Roman" w:hAnsi="Times New Roman" w:cs="Times New Roman"/>
                <w:kern w:val="0"/>
                <w:sz w:val="24"/>
                <w:szCs w:val="20"/>
              </w:rPr>
            </w:pPr>
            <w:r>
              <w:rPr>
                <w:rFonts w:ascii="Times New Roman" w:hAnsi="Times New Roman" w:cs="Times New Roman"/>
                <w:kern w:val="0"/>
                <w:sz w:val="24"/>
                <w:szCs w:val="20"/>
              </w:rPr>
              <w:t>②土壤环境影响评价项目类别：本项目属于</w:t>
            </w:r>
            <w:r>
              <w:rPr>
                <w:rFonts w:hint="eastAsia" w:ascii="Times New Roman" w:hAnsi="Times New Roman" w:cs="Times New Roman"/>
                <w:kern w:val="0"/>
                <w:sz w:val="24"/>
                <w:szCs w:val="20"/>
              </w:rPr>
              <w:t>K 机械、电子 71 通用、专用设备制造及维修，“</w:t>
            </w:r>
            <w:r>
              <w:rPr>
                <w:rFonts w:ascii="Times New Roman" w:hAnsi="Times New Roman" w:cs="Times New Roman"/>
                <w:kern w:val="0"/>
                <w:sz w:val="24"/>
                <w:szCs w:val="20"/>
              </w:rPr>
              <w:t xml:space="preserve">制造业 </w:t>
            </w:r>
            <w:r>
              <w:rPr>
                <w:rFonts w:hint="eastAsia" w:ascii="Times New Roman" w:hAnsi="Times New Roman" w:cs="Times New Roman"/>
                <w:kern w:val="0"/>
                <w:sz w:val="24"/>
                <w:szCs w:val="20"/>
              </w:rPr>
              <w:t>设备制造、</w:t>
            </w:r>
            <w:r>
              <w:rPr>
                <w:rFonts w:ascii="Times New Roman" w:hAnsi="Times New Roman" w:cs="Times New Roman"/>
                <w:kern w:val="0"/>
                <w:sz w:val="24"/>
                <w:szCs w:val="20"/>
              </w:rPr>
              <w:t>金属制品</w:t>
            </w:r>
            <w:r>
              <w:rPr>
                <w:rFonts w:hint="eastAsia" w:ascii="Times New Roman" w:hAnsi="Times New Roman" w:cs="Times New Roman"/>
                <w:kern w:val="0"/>
                <w:sz w:val="24"/>
                <w:szCs w:val="20"/>
              </w:rPr>
              <w:t>、汽车制造及其它用品制造-其它”</w:t>
            </w:r>
            <w:r>
              <w:rPr>
                <w:rFonts w:ascii="Times New Roman" w:hAnsi="Times New Roman" w:cs="Times New Roman"/>
                <w:kern w:val="0"/>
                <w:sz w:val="24"/>
                <w:szCs w:val="20"/>
              </w:rPr>
              <w:t>，土壤评价项目类别属于</w:t>
            </w:r>
            <w:r>
              <w:rPr>
                <w:rFonts w:hint="eastAsia" w:ascii="Times New Roman" w:hAnsi="Times New Roman" w:cs="Times New Roman"/>
                <w:kern w:val="0"/>
                <w:sz w:val="24"/>
                <w:szCs w:val="20"/>
              </w:rPr>
              <w:t>Ⅲ</w:t>
            </w:r>
            <w:r>
              <w:rPr>
                <w:rFonts w:ascii="Times New Roman" w:hAnsi="Times New Roman" w:cs="Times New Roman"/>
                <w:kern w:val="0"/>
                <w:sz w:val="24"/>
                <w:szCs w:val="20"/>
              </w:rPr>
              <w:t>类</w:t>
            </w:r>
            <w:r>
              <w:rPr>
                <w:rFonts w:hint="eastAsia" w:ascii="Times New Roman" w:hAnsi="Times New Roman" w:cs="Times New Roman"/>
                <w:kern w:val="0"/>
                <w:sz w:val="24"/>
                <w:szCs w:val="20"/>
              </w:rPr>
              <w:t>。</w:t>
            </w:r>
          </w:p>
          <w:p>
            <w:pPr>
              <w:adjustRightInd w:val="0"/>
              <w:snapToGrid w:val="0"/>
              <w:spacing w:line="360" w:lineRule="auto"/>
              <w:ind w:firstLine="480" w:firstLineChars="200"/>
              <w:textAlignment w:val="baseline"/>
              <w:rPr>
                <w:rFonts w:ascii="Times New Roman" w:hAnsi="Times New Roman" w:cs="Times New Roman"/>
                <w:kern w:val="0"/>
                <w:sz w:val="24"/>
                <w:szCs w:val="20"/>
              </w:rPr>
            </w:pPr>
            <w:r>
              <w:rPr>
                <w:rFonts w:hint="eastAsia" w:ascii="Times New Roman" w:hAnsi="Times New Roman" w:cs="Times New Roman"/>
                <w:kern w:val="0"/>
                <w:sz w:val="24"/>
                <w:szCs w:val="20"/>
              </w:rPr>
              <w:t>③</w:t>
            </w:r>
            <w:r>
              <w:rPr>
                <w:rFonts w:ascii="Times New Roman" w:hAnsi="Times New Roman" w:cs="Times New Roman"/>
                <w:kern w:val="0"/>
                <w:sz w:val="24"/>
                <w:szCs w:val="20"/>
              </w:rPr>
              <w:t>建设项目所在地周边的土壤环境敏感程度：</w:t>
            </w:r>
            <w:r>
              <w:rPr>
                <w:rFonts w:hint="eastAsia" w:ascii="Times New Roman" w:hAnsi="Times New Roman" w:cs="Times New Roman"/>
                <w:kern w:val="0"/>
                <w:sz w:val="24"/>
                <w:szCs w:val="20"/>
              </w:rPr>
              <w:t>根据《环境影响评价技术导则 土壤环境（试行）》（HJ964-2018），建设项目所在地周边的土壤环境敏感程度分为敏感、较敏感、不敏感；</w:t>
            </w:r>
            <w:r>
              <w:rPr>
                <w:rFonts w:ascii="Times New Roman" w:hAnsi="Times New Roman" w:cs="Times New Roman"/>
                <w:kern w:val="0"/>
                <w:sz w:val="24"/>
                <w:szCs w:val="20"/>
              </w:rPr>
              <w:t>本项目</w:t>
            </w:r>
            <w:r>
              <w:rPr>
                <w:rFonts w:hint="eastAsia" w:ascii="Times New Roman" w:hAnsi="Times New Roman" w:cs="Times New Roman"/>
                <w:kern w:val="0"/>
                <w:sz w:val="24"/>
                <w:szCs w:val="20"/>
              </w:rPr>
              <w:t>周边不存在耕地、园地、牧草地、饮用水水源地或居民区、学校、医院、疗养院、养老院等土壤环境敏感目标，</w:t>
            </w:r>
            <w:r>
              <w:rPr>
                <w:rFonts w:ascii="Times New Roman" w:hAnsi="Times New Roman" w:cs="Times New Roman"/>
                <w:kern w:val="0"/>
                <w:sz w:val="24"/>
                <w:szCs w:val="20"/>
              </w:rPr>
              <w:t>因此建设项目所在周边土壤环境敏感程度为</w:t>
            </w:r>
            <w:r>
              <w:rPr>
                <w:rFonts w:hint="eastAsia" w:ascii="Times New Roman" w:hAnsi="Times New Roman" w:cs="Times New Roman"/>
                <w:kern w:val="0"/>
                <w:sz w:val="24"/>
                <w:szCs w:val="20"/>
              </w:rPr>
              <w:t>不</w:t>
            </w:r>
            <w:r>
              <w:rPr>
                <w:rFonts w:ascii="Times New Roman" w:hAnsi="Times New Roman" w:cs="Times New Roman"/>
                <w:kern w:val="0"/>
                <w:sz w:val="24"/>
                <w:szCs w:val="20"/>
              </w:rPr>
              <w:t>敏感。</w:t>
            </w:r>
          </w:p>
          <w:p>
            <w:pPr>
              <w:adjustRightInd w:val="0"/>
              <w:snapToGrid w:val="0"/>
              <w:spacing w:line="360" w:lineRule="auto"/>
              <w:ind w:firstLine="480" w:firstLineChars="200"/>
              <w:textAlignment w:val="baseline"/>
              <w:rPr>
                <w:rFonts w:ascii="Times New Roman" w:hAnsi="Times New Roman" w:cs="Times New Roman"/>
                <w:kern w:val="0"/>
                <w:sz w:val="24"/>
                <w:szCs w:val="20"/>
              </w:rPr>
            </w:pPr>
            <w:r>
              <w:rPr>
                <w:rFonts w:ascii="Times New Roman" w:hAnsi="Times New Roman" w:cs="Times New Roman"/>
                <w:kern w:val="0"/>
                <w:sz w:val="24"/>
                <w:szCs w:val="20"/>
              </w:rPr>
              <w:t>具体指标判断见表</w:t>
            </w:r>
            <w:r>
              <w:rPr>
                <w:rFonts w:hint="eastAsia" w:ascii="Times New Roman" w:hAnsi="Times New Roman" w:cs="Times New Roman"/>
                <w:kern w:val="0"/>
                <w:sz w:val="24"/>
                <w:szCs w:val="20"/>
              </w:rPr>
              <w:t>53</w:t>
            </w:r>
            <w:r>
              <w:rPr>
                <w:rFonts w:ascii="Times New Roman" w:hAnsi="Times New Roman" w:cs="Times New Roman"/>
                <w:kern w:val="0"/>
                <w:sz w:val="24"/>
                <w:szCs w:val="20"/>
              </w:rPr>
              <w:t>。</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53</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污染影响型评价工作等级划分表</w:t>
            </w:r>
          </w:p>
          <w:tbl>
            <w:tblPr>
              <w:tblStyle w:val="28"/>
              <w:tblW w:w="87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817"/>
              <w:gridCol w:w="817"/>
              <w:gridCol w:w="817"/>
              <w:gridCol w:w="818"/>
              <w:gridCol w:w="816"/>
              <w:gridCol w:w="817"/>
              <w:gridCol w:w="817"/>
              <w:gridCol w:w="817"/>
              <w:gridCol w:w="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66" w:type="dxa"/>
                  <w:vMerge w:val="restart"/>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mc:AlternateContent>
                      <mc:Choice Requires="wps">
                        <w:drawing>
                          <wp:anchor distT="0" distB="0" distL="114300" distR="114300" simplePos="0" relativeHeight="253401088" behindDoc="0" locked="0" layoutInCell="1" allowOverlap="1">
                            <wp:simplePos x="0" y="0"/>
                            <wp:positionH relativeFrom="column">
                              <wp:posOffset>-127635</wp:posOffset>
                            </wp:positionH>
                            <wp:positionV relativeFrom="paragraph">
                              <wp:posOffset>344805</wp:posOffset>
                            </wp:positionV>
                            <wp:extent cx="680085" cy="210820"/>
                            <wp:effectExtent l="0" t="0" r="0" b="0"/>
                            <wp:wrapNone/>
                            <wp:docPr id="4" name="文本框 41"/>
                            <wp:cNvGraphicFramePr/>
                            <a:graphic xmlns:a="http://schemas.openxmlformats.org/drawingml/2006/main">
                              <a:graphicData uri="http://schemas.microsoft.com/office/word/2010/wordprocessingShape">
                                <wps:wsp>
                                  <wps:cNvSpPr txBox="1"/>
                                  <wps:spPr>
                                    <a:xfrm>
                                      <a:off x="0" y="0"/>
                                      <a:ext cx="680085" cy="210820"/>
                                    </a:xfrm>
                                    <a:prstGeom prst="rect">
                                      <a:avLst/>
                                    </a:prstGeom>
                                    <a:noFill/>
                                    <a:ln>
                                      <a:noFill/>
                                    </a:ln>
                                  </wps:spPr>
                                  <wps:txbx>
                                    <w:txbxContent>
                                      <w:p>
                                        <w:pPr>
                                          <w:snapToGrid w:val="0"/>
                                          <w:rPr>
                                            <w:rFonts w:ascii="宋体" w:hAnsi="宋体" w:cs="宋体"/>
                                            <w:b/>
                                            <w:bCs/>
                                            <w:sz w:val="18"/>
                                            <w:szCs w:val="18"/>
                                          </w:rPr>
                                        </w:pPr>
                                        <w:r>
                                          <w:rPr>
                                            <w:rFonts w:hint="eastAsia" w:ascii="宋体" w:hAnsi="宋体" w:cs="宋体"/>
                                            <w:b/>
                                            <w:bCs/>
                                            <w:sz w:val="18"/>
                                            <w:szCs w:val="18"/>
                                          </w:rPr>
                                          <w:t>敏感程度</w:t>
                                        </w:r>
                                      </w:p>
                                    </w:txbxContent>
                                  </wps:txbx>
                                  <wps:bodyPr upright="1"/>
                                </wps:wsp>
                              </a:graphicData>
                            </a:graphic>
                          </wp:anchor>
                        </w:drawing>
                      </mc:Choice>
                      <mc:Fallback>
                        <w:pict>
                          <v:shape id="文本框 41" o:spid="_x0000_s1026" o:spt="202" type="#_x0000_t202" style="position:absolute;left:0pt;margin-left:-10.05pt;margin-top:27.15pt;height:16.6pt;width:53.55pt;z-index:253401088;mso-width-relative:page;mso-height-relative:page;" filled="f" stroked="f" coordsize="21600,21600" o:gfxdata="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seBM0dYAAAAIAQAADwAAAAAAAAABACAAAAAiAAAAZHJzL2Rvd25y&#10;ZXYueG1sUEsBAhQAFAAAAAgAh07iQHsoCOOOAQAAAAMAAA4AAAAAAAAAAQAgAAAAJQEAAGRycy9l&#10;Mm9Eb2MueG1sUEsFBgAAAAAGAAYAWQEAACUFAAAAAA==&#10;">
                            <v:fill on="f" focussize="0,0"/>
                            <v:stroke on="f"/>
                            <v:imagedata o:title=""/>
                            <o:lock v:ext="edit" aspectratio="f"/>
                            <v:textbox>
                              <w:txbxContent>
                                <w:p>
                                  <w:pPr>
                                    <w:snapToGrid w:val="0"/>
                                    <w:rPr>
                                      <w:rFonts w:ascii="宋体" w:hAnsi="宋体" w:cs="宋体"/>
                                      <w:b/>
                                      <w:bCs/>
                                      <w:sz w:val="18"/>
                                      <w:szCs w:val="18"/>
                                    </w:rPr>
                                  </w:pPr>
                                  <w:r>
                                    <w:rPr>
                                      <w:rFonts w:hint="eastAsia" w:ascii="宋体" w:hAnsi="宋体" w:cs="宋体"/>
                                      <w:b/>
                                      <w:bCs/>
                                      <w:sz w:val="18"/>
                                      <w:szCs w:val="18"/>
                                    </w:rPr>
                                    <w:t>敏感程度</w:t>
                                  </w:r>
                                </w:p>
                              </w:txbxContent>
                            </v:textbox>
                          </v:shape>
                        </w:pict>
                      </mc:Fallback>
                    </mc:AlternateContent>
                  </w:r>
                  <w:r>
                    <w:rPr>
                      <w:rFonts w:ascii="Times New Roman" w:hAnsi="Times New Roman" w:cs="Times New Roman"/>
                      <w:bCs/>
                      <w:sz w:val="21"/>
                      <w:szCs w:val="21"/>
                    </w:rPr>
                    <mc:AlternateContent>
                      <mc:Choice Requires="wps">
                        <w:drawing>
                          <wp:anchor distT="0" distB="0" distL="114300" distR="114300" simplePos="0" relativeHeight="253402112" behindDoc="0" locked="0" layoutInCell="1" allowOverlap="1">
                            <wp:simplePos x="0" y="0"/>
                            <wp:positionH relativeFrom="column">
                              <wp:posOffset>-102870</wp:posOffset>
                            </wp:positionH>
                            <wp:positionV relativeFrom="paragraph">
                              <wp:posOffset>285115</wp:posOffset>
                            </wp:positionV>
                            <wp:extent cx="999490" cy="235585"/>
                            <wp:effectExtent l="1270" t="4445" r="8890" b="7620"/>
                            <wp:wrapNone/>
                            <wp:docPr id="5" name="自选图形 42"/>
                            <wp:cNvGraphicFramePr/>
                            <a:graphic xmlns:a="http://schemas.openxmlformats.org/drawingml/2006/main">
                              <a:graphicData uri="http://schemas.microsoft.com/office/word/2010/wordprocessingShape">
                                <wps:wsp>
                                  <wps:cNvCnPr/>
                                  <wps:spPr>
                                    <a:xfrm>
                                      <a:off x="0" y="0"/>
                                      <a:ext cx="999490" cy="2355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2" o:spid="_x0000_s1026" o:spt="32" type="#_x0000_t32" style="position:absolute;left:0pt;margin-left:-8.1pt;margin-top:22.45pt;height:18.55pt;width:78.7pt;z-index:253402112;mso-width-relative:page;mso-height-relative:page;" filled="f" stroked="t" coordsize="21600,21600" o:gfxdata="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F2o421wAAAAkBAAAPAAAA&#10;AAAAAAEAIAAAACIAAABkcnMvZG93bnJldi54bWxQSwECFAAUAAAACACHTuJAJ14h3d0BAACaAwAA&#10;DgAAAAAAAAABACAAAAAmAQAAZHJzL2Uyb0RvYy54bWxQSwUGAAAAAAYABgBZAQAAdQUAAAAA&#10;">
                            <v:fill on="f" focussize="0,0"/>
                            <v:stroke color="#000000" joinstyle="round"/>
                            <v:imagedata o:title=""/>
                            <o:lock v:ext="edit" aspectratio="f"/>
                          </v:shape>
                        </w:pict>
                      </mc:Fallback>
                    </mc:AlternateContent>
                  </w:r>
                  <w:r>
                    <w:rPr>
                      <w:rFonts w:ascii="Times New Roman" w:hAnsi="Times New Roman" w:cs="Times New Roman"/>
                      <w:bCs/>
                      <w:sz w:val="21"/>
                      <w:szCs w:val="21"/>
                    </w:rPr>
                    <mc:AlternateContent>
                      <mc:Choice Requires="wps">
                        <w:drawing>
                          <wp:anchor distT="0" distB="0" distL="114300" distR="114300" simplePos="0" relativeHeight="253403136" behindDoc="0" locked="0" layoutInCell="1" allowOverlap="1">
                            <wp:simplePos x="0" y="0"/>
                            <wp:positionH relativeFrom="column">
                              <wp:posOffset>-43180</wp:posOffset>
                            </wp:positionH>
                            <wp:positionV relativeFrom="paragraph">
                              <wp:posOffset>12700</wp:posOffset>
                            </wp:positionV>
                            <wp:extent cx="669925" cy="379730"/>
                            <wp:effectExtent l="0" t="0" r="0" b="0"/>
                            <wp:wrapNone/>
                            <wp:docPr id="6" name="文本框 43"/>
                            <wp:cNvGraphicFramePr/>
                            <a:graphic xmlns:a="http://schemas.openxmlformats.org/drawingml/2006/main">
                              <a:graphicData uri="http://schemas.microsoft.com/office/word/2010/wordprocessingShape">
                                <wps:wsp>
                                  <wps:cNvSpPr txBox="1"/>
                                  <wps:spPr>
                                    <a:xfrm>
                                      <a:off x="0" y="0"/>
                                      <a:ext cx="669925" cy="379730"/>
                                    </a:xfrm>
                                    <a:prstGeom prst="rect">
                                      <a:avLst/>
                                    </a:prstGeom>
                                    <a:noFill/>
                                    <a:ln>
                                      <a:noFill/>
                                    </a:ln>
                                  </wps:spPr>
                                  <wps:txbx>
                                    <w:txbxContent>
                                      <w:p>
                                        <w:pPr>
                                          <w:snapToGrid w:val="0"/>
                                          <w:rPr>
                                            <w:rFonts w:ascii="宋体" w:hAnsi="宋体" w:cs="宋体"/>
                                            <w:b/>
                                            <w:bCs/>
                                            <w:sz w:val="18"/>
                                            <w:szCs w:val="18"/>
                                          </w:rPr>
                                        </w:pPr>
                                        <w:r>
                                          <w:rPr>
                                            <w:rFonts w:hint="eastAsia" w:ascii="宋体" w:hAnsi="宋体" w:cs="宋体"/>
                                            <w:b/>
                                            <w:bCs/>
                                            <w:sz w:val="18"/>
                                            <w:szCs w:val="18"/>
                                          </w:rPr>
                                          <w:t>评价</w:t>
                                        </w:r>
                                      </w:p>
                                      <w:p>
                                        <w:pPr>
                                          <w:snapToGrid w:val="0"/>
                                          <w:rPr>
                                            <w:rFonts w:ascii="宋体" w:hAnsi="宋体" w:cs="宋体"/>
                                            <w:b/>
                                            <w:bCs/>
                                            <w:sz w:val="18"/>
                                            <w:szCs w:val="18"/>
                                          </w:rPr>
                                        </w:pPr>
                                        <w:r>
                                          <w:rPr>
                                            <w:rFonts w:hint="eastAsia" w:ascii="宋体" w:hAnsi="宋体" w:cs="宋体"/>
                                            <w:b/>
                                            <w:bCs/>
                                            <w:sz w:val="18"/>
                                            <w:szCs w:val="18"/>
                                          </w:rPr>
                                          <w:t>工作等级</w:t>
                                        </w:r>
                                      </w:p>
                                    </w:txbxContent>
                                  </wps:txbx>
                                  <wps:bodyPr upright="1"/>
                                </wps:wsp>
                              </a:graphicData>
                            </a:graphic>
                          </wp:anchor>
                        </w:drawing>
                      </mc:Choice>
                      <mc:Fallback>
                        <w:pict>
                          <v:shape id="文本框 43" o:spid="_x0000_s1026" o:spt="202" type="#_x0000_t202" style="position:absolute;left:0pt;margin-left:-3.4pt;margin-top:1pt;height:29.9pt;width:52.75pt;z-index:253403136;mso-width-relative:page;mso-height-relative:page;" filled="f" stroked="f" coordsize="21600,21600" o:gfxdata="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fmleM1AAAAAYBAAAPAAAAAAAAAAEAIAAAACIAAABkcnMvZG93bnJl&#10;di54bWxQSwECFAAUAAAACACHTuJAQKhYd48BAAAAAwAADgAAAAAAAAABACAAAAAjAQAAZHJzL2Uy&#10;b0RvYy54bWxQSwUGAAAAAAYABgBZAQAAJAUAAAAA&#10;">
                            <v:fill on="f" focussize="0,0"/>
                            <v:stroke on="f"/>
                            <v:imagedata o:title=""/>
                            <o:lock v:ext="edit" aspectratio="f"/>
                            <v:textbox>
                              <w:txbxContent>
                                <w:p>
                                  <w:pPr>
                                    <w:snapToGrid w:val="0"/>
                                    <w:rPr>
                                      <w:rFonts w:ascii="宋体" w:hAnsi="宋体" w:cs="宋体"/>
                                      <w:b/>
                                      <w:bCs/>
                                      <w:sz w:val="18"/>
                                      <w:szCs w:val="18"/>
                                    </w:rPr>
                                  </w:pPr>
                                  <w:r>
                                    <w:rPr>
                                      <w:rFonts w:hint="eastAsia" w:ascii="宋体" w:hAnsi="宋体" w:cs="宋体"/>
                                      <w:b/>
                                      <w:bCs/>
                                      <w:sz w:val="18"/>
                                      <w:szCs w:val="18"/>
                                    </w:rPr>
                                    <w:t>评价</w:t>
                                  </w:r>
                                </w:p>
                                <w:p>
                                  <w:pPr>
                                    <w:snapToGrid w:val="0"/>
                                    <w:rPr>
                                      <w:rFonts w:ascii="宋体" w:hAnsi="宋体" w:cs="宋体"/>
                                      <w:b/>
                                      <w:bCs/>
                                      <w:sz w:val="18"/>
                                      <w:szCs w:val="18"/>
                                    </w:rPr>
                                  </w:pPr>
                                  <w:r>
                                    <w:rPr>
                                      <w:rFonts w:hint="eastAsia" w:ascii="宋体" w:hAnsi="宋体" w:cs="宋体"/>
                                      <w:b/>
                                      <w:bCs/>
                                      <w:sz w:val="18"/>
                                      <w:szCs w:val="18"/>
                                    </w:rPr>
                                    <w:t>工作等级</w:t>
                                  </w:r>
                                </w:p>
                              </w:txbxContent>
                            </v:textbox>
                          </v:shape>
                        </w:pict>
                      </mc:Fallback>
                    </mc:AlternateContent>
                  </w:r>
                  <w:r>
                    <w:rPr>
                      <w:rFonts w:ascii="Times New Roman" w:hAnsi="Times New Roman" w:cs="Times New Roman"/>
                      <w:bCs/>
                      <w:sz w:val="21"/>
                      <w:szCs w:val="21"/>
                    </w:rPr>
                    <mc:AlternateContent>
                      <mc:Choice Requires="wps">
                        <w:drawing>
                          <wp:anchor distT="0" distB="0" distL="114300" distR="114300" simplePos="0" relativeHeight="253404160" behindDoc="0" locked="0" layoutInCell="1" allowOverlap="1">
                            <wp:simplePos x="0" y="0"/>
                            <wp:positionH relativeFrom="column">
                              <wp:posOffset>259080</wp:posOffset>
                            </wp:positionH>
                            <wp:positionV relativeFrom="paragraph">
                              <wp:posOffset>10160</wp:posOffset>
                            </wp:positionV>
                            <wp:extent cx="635000" cy="502920"/>
                            <wp:effectExtent l="3175" t="3810" r="9525" b="7620"/>
                            <wp:wrapNone/>
                            <wp:docPr id="7" name="自选图形 44"/>
                            <wp:cNvGraphicFramePr/>
                            <a:graphic xmlns:a="http://schemas.openxmlformats.org/drawingml/2006/main">
                              <a:graphicData uri="http://schemas.microsoft.com/office/word/2010/wordprocessingShape">
                                <wps:wsp>
                                  <wps:cNvCnPr/>
                                  <wps:spPr>
                                    <a:xfrm>
                                      <a:off x="0" y="0"/>
                                      <a:ext cx="635000" cy="5029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4" o:spid="_x0000_s1026" o:spt="32" type="#_x0000_t32" style="position:absolute;left:0pt;margin-left:20.4pt;margin-top:0.8pt;height:39.6pt;width:50pt;z-index:253404160;mso-width-relative:page;mso-height-relative:page;" filled="f" stroked="t" coordsize="21600,21600" o:gfxdata="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4qLGAtIAAAAHAQAADwAAAAAA&#10;AAABACAAAAAiAAAAZHJzL2Rvd25yZXYueG1sUEsBAhQAFAAAAAgAh07iQEZzu1/gAQAAmgMAAA4A&#10;AAAAAAAAAQAgAAAAIQEAAGRycy9lMm9Eb2MueG1sUEsFBgAAAAAGAAYAWQEAAHMFAAAAAA==&#10;">
                            <v:fill on="f" focussize="0,0"/>
                            <v:stroke color="#000000" joinstyle="round"/>
                            <v:imagedata o:title=""/>
                            <o:lock v:ext="edit" aspectratio="f"/>
                          </v:shape>
                        </w:pict>
                      </mc:Fallback>
                    </mc:AlternateContent>
                  </w:r>
                  <w:r>
                    <w:rPr>
                      <w:rFonts w:ascii="Times New Roman" w:hAnsi="Times New Roman" w:cs="Times New Roman"/>
                      <w:bCs/>
                      <w:sz w:val="21"/>
                      <w:szCs w:val="21"/>
                    </w:rPr>
                    <mc:AlternateContent>
                      <mc:Choice Requires="wps">
                        <w:drawing>
                          <wp:anchor distT="0" distB="0" distL="114300" distR="114300" simplePos="0" relativeHeight="253405184" behindDoc="0" locked="0" layoutInCell="1" allowOverlap="1">
                            <wp:simplePos x="0" y="0"/>
                            <wp:positionH relativeFrom="column">
                              <wp:posOffset>459740</wp:posOffset>
                            </wp:positionH>
                            <wp:positionV relativeFrom="paragraph">
                              <wp:posOffset>3810</wp:posOffset>
                            </wp:positionV>
                            <wp:extent cx="438150" cy="375920"/>
                            <wp:effectExtent l="0" t="0" r="0" b="0"/>
                            <wp:wrapNone/>
                            <wp:docPr id="8" name="文本框 45"/>
                            <wp:cNvGraphicFramePr/>
                            <a:graphic xmlns:a="http://schemas.openxmlformats.org/drawingml/2006/main">
                              <a:graphicData uri="http://schemas.microsoft.com/office/word/2010/wordprocessingShape">
                                <wps:wsp>
                                  <wps:cNvSpPr txBox="1"/>
                                  <wps:spPr>
                                    <a:xfrm>
                                      <a:off x="0" y="0"/>
                                      <a:ext cx="438150" cy="375920"/>
                                    </a:xfrm>
                                    <a:prstGeom prst="rect">
                                      <a:avLst/>
                                    </a:prstGeom>
                                    <a:noFill/>
                                    <a:ln>
                                      <a:noFill/>
                                    </a:ln>
                                  </wps:spPr>
                                  <wps:txbx>
                                    <w:txbxContent>
                                      <w:p>
                                        <w:pPr>
                                          <w:snapToGrid w:val="0"/>
                                          <w:rPr>
                                            <w:rFonts w:ascii="宋体" w:hAnsi="宋体" w:cs="宋体"/>
                                            <w:b/>
                                            <w:bCs/>
                                            <w:sz w:val="18"/>
                                            <w:szCs w:val="18"/>
                                          </w:rPr>
                                        </w:pPr>
                                        <w:r>
                                          <w:rPr>
                                            <w:rFonts w:hint="eastAsia" w:ascii="宋体" w:hAnsi="宋体" w:cs="宋体"/>
                                            <w:b/>
                                            <w:bCs/>
                                            <w:sz w:val="18"/>
                                            <w:szCs w:val="18"/>
                                          </w:rPr>
                                          <w:t>占地</w:t>
                                        </w:r>
                                      </w:p>
                                      <w:p>
                                        <w:pPr>
                                          <w:snapToGrid w:val="0"/>
                                          <w:rPr>
                                            <w:rFonts w:ascii="宋体" w:hAnsi="宋体" w:cs="宋体"/>
                                            <w:b/>
                                            <w:bCs/>
                                            <w:sz w:val="18"/>
                                            <w:szCs w:val="18"/>
                                          </w:rPr>
                                        </w:pPr>
                                        <w:r>
                                          <w:rPr>
                                            <w:rFonts w:hint="eastAsia" w:ascii="宋体" w:hAnsi="宋体" w:cs="宋体"/>
                                            <w:b/>
                                            <w:bCs/>
                                            <w:sz w:val="18"/>
                                            <w:szCs w:val="18"/>
                                          </w:rPr>
                                          <w:t>规模</w:t>
                                        </w:r>
                                      </w:p>
                                    </w:txbxContent>
                                  </wps:txbx>
                                  <wps:bodyPr upright="1"/>
                                </wps:wsp>
                              </a:graphicData>
                            </a:graphic>
                          </wp:anchor>
                        </w:drawing>
                      </mc:Choice>
                      <mc:Fallback>
                        <w:pict>
                          <v:shape id="文本框 45" o:spid="_x0000_s1026" o:spt="202" type="#_x0000_t202" style="position:absolute;left:0pt;margin-left:36.2pt;margin-top:0.3pt;height:29.6pt;width:34.5pt;z-index:253405184;mso-width-relative:page;mso-height-relative:page;" filled="f" stroked="f" coordsize="21600,21600" o:gfxdata="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lyNVzdMAAAAGAQAADwAAAAAAAAABACAAAAAiAAAAZHJzL2Rvd25yZXYu&#10;eG1sUEsBAhQAFAAAAAgAh07iQANKrGSOAQAAAAMAAA4AAAAAAAAAAQAgAAAAIgEAAGRycy9lMm9E&#10;b2MueG1sUEsFBgAAAAAGAAYAWQEAACIFAAAAAA==&#10;">
                            <v:fill on="f" focussize="0,0"/>
                            <v:stroke on="f"/>
                            <v:imagedata o:title=""/>
                            <o:lock v:ext="edit" aspectratio="f"/>
                            <v:textbox>
                              <w:txbxContent>
                                <w:p>
                                  <w:pPr>
                                    <w:snapToGrid w:val="0"/>
                                    <w:rPr>
                                      <w:rFonts w:ascii="宋体" w:hAnsi="宋体" w:cs="宋体"/>
                                      <w:b/>
                                      <w:bCs/>
                                      <w:sz w:val="18"/>
                                      <w:szCs w:val="18"/>
                                    </w:rPr>
                                  </w:pPr>
                                  <w:r>
                                    <w:rPr>
                                      <w:rFonts w:hint="eastAsia" w:ascii="宋体" w:hAnsi="宋体" w:cs="宋体"/>
                                      <w:b/>
                                      <w:bCs/>
                                      <w:sz w:val="18"/>
                                      <w:szCs w:val="18"/>
                                    </w:rPr>
                                    <w:t>占地</w:t>
                                  </w:r>
                                </w:p>
                                <w:p>
                                  <w:pPr>
                                    <w:snapToGrid w:val="0"/>
                                    <w:rPr>
                                      <w:rFonts w:ascii="宋体" w:hAnsi="宋体" w:cs="宋体"/>
                                      <w:b/>
                                      <w:bCs/>
                                      <w:sz w:val="18"/>
                                      <w:szCs w:val="18"/>
                                    </w:rPr>
                                  </w:pPr>
                                  <w:r>
                                    <w:rPr>
                                      <w:rFonts w:hint="eastAsia" w:ascii="宋体" w:hAnsi="宋体" w:cs="宋体"/>
                                      <w:b/>
                                      <w:bCs/>
                                      <w:sz w:val="18"/>
                                      <w:szCs w:val="18"/>
                                    </w:rPr>
                                    <w:t>规模</w:t>
                                  </w:r>
                                </w:p>
                              </w:txbxContent>
                            </v:textbox>
                          </v:shape>
                        </w:pict>
                      </mc:Fallback>
                    </mc:AlternateContent>
                  </w:r>
                </w:p>
              </w:tc>
              <w:tc>
                <w:tcPr>
                  <w:tcW w:w="2451" w:type="dxa"/>
                  <w:gridSpan w:val="3"/>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 = 1 \* ROMAN </w:instrText>
                  </w:r>
                  <w:r>
                    <w:rPr>
                      <w:rFonts w:ascii="Times New Roman" w:hAnsi="Times New Roman" w:cs="Times New Roman"/>
                      <w:bCs/>
                      <w:sz w:val="21"/>
                      <w:szCs w:val="21"/>
                    </w:rPr>
                    <w:fldChar w:fldCharType="separate"/>
                  </w:r>
                  <w:r>
                    <w:rPr>
                      <w:rFonts w:ascii="Times New Roman" w:hAnsi="Times New Roman" w:cs="Times New Roman"/>
                      <w:bCs/>
                      <w:sz w:val="21"/>
                      <w:szCs w:val="21"/>
                    </w:rPr>
                    <w:t>I</w:t>
                  </w:r>
                  <w:r>
                    <w:rPr>
                      <w:rFonts w:ascii="Times New Roman" w:hAnsi="Times New Roman" w:cs="Times New Roman"/>
                      <w:bCs/>
                      <w:sz w:val="21"/>
                      <w:szCs w:val="21"/>
                    </w:rPr>
                    <w:fldChar w:fldCharType="end"/>
                  </w:r>
                  <w:r>
                    <w:rPr>
                      <w:rFonts w:ascii="Times New Roman" w:hAnsi="Times New Roman" w:cs="Times New Roman"/>
                      <w:bCs/>
                      <w:sz w:val="21"/>
                      <w:szCs w:val="21"/>
                    </w:rPr>
                    <w:t>类</w:t>
                  </w:r>
                </w:p>
              </w:tc>
              <w:tc>
                <w:tcPr>
                  <w:tcW w:w="2451" w:type="dxa"/>
                  <w:gridSpan w:val="3"/>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 = 2 \* ROMAN </w:instrText>
                  </w:r>
                  <w:r>
                    <w:rPr>
                      <w:rFonts w:ascii="Times New Roman" w:hAnsi="Times New Roman" w:cs="Times New Roman"/>
                      <w:bCs/>
                      <w:sz w:val="21"/>
                      <w:szCs w:val="21"/>
                    </w:rPr>
                    <w:fldChar w:fldCharType="separate"/>
                  </w:r>
                  <w:r>
                    <w:rPr>
                      <w:rFonts w:ascii="Times New Roman" w:hAnsi="Times New Roman" w:cs="Times New Roman"/>
                      <w:bCs/>
                      <w:sz w:val="21"/>
                      <w:szCs w:val="21"/>
                    </w:rPr>
                    <w:t>II</w:t>
                  </w:r>
                  <w:r>
                    <w:rPr>
                      <w:rFonts w:ascii="Times New Roman" w:hAnsi="Times New Roman" w:cs="Times New Roman"/>
                      <w:bCs/>
                      <w:sz w:val="21"/>
                      <w:szCs w:val="21"/>
                    </w:rPr>
                    <w:fldChar w:fldCharType="end"/>
                  </w:r>
                  <w:r>
                    <w:rPr>
                      <w:rFonts w:ascii="Times New Roman" w:hAnsi="Times New Roman" w:cs="Times New Roman"/>
                      <w:bCs/>
                      <w:sz w:val="21"/>
                      <w:szCs w:val="21"/>
                    </w:rPr>
                    <w:t>类</w:t>
                  </w:r>
                </w:p>
              </w:tc>
              <w:tc>
                <w:tcPr>
                  <w:tcW w:w="2347" w:type="dxa"/>
                  <w:gridSpan w:val="3"/>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fldChar w:fldCharType="begin"/>
                  </w:r>
                  <w:r>
                    <w:rPr>
                      <w:rFonts w:ascii="Times New Roman" w:hAnsi="Times New Roman" w:cs="Times New Roman"/>
                      <w:bCs/>
                      <w:sz w:val="21"/>
                      <w:szCs w:val="21"/>
                    </w:rPr>
                    <w:instrText xml:space="preserve"> = 3 \* ROMAN </w:instrText>
                  </w:r>
                  <w:r>
                    <w:rPr>
                      <w:rFonts w:ascii="Times New Roman" w:hAnsi="Times New Roman" w:cs="Times New Roman"/>
                      <w:bCs/>
                      <w:sz w:val="21"/>
                      <w:szCs w:val="21"/>
                    </w:rPr>
                    <w:fldChar w:fldCharType="separate"/>
                  </w:r>
                  <w:r>
                    <w:rPr>
                      <w:rFonts w:ascii="Times New Roman" w:hAnsi="Times New Roman" w:cs="Times New Roman"/>
                      <w:bCs/>
                      <w:sz w:val="21"/>
                      <w:szCs w:val="21"/>
                    </w:rPr>
                    <w:t>III</w:t>
                  </w:r>
                  <w:r>
                    <w:rPr>
                      <w:rFonts w:ascii="Times New Roman" w:hAnsi="Times New Roman" w:cs="Times New Roman"/>
                      <w:bCs/>
                      <w:sz w:val="21"/>
                      <w:szCs w:val="21"/>
                    </w:rPr>
                    <w:fldChar w:fldCharType="end"/>
                  </w:r>
                  <w:r>
                    <w:rPr>
                      <w:rFonts w:ascii="Times New Roman" w:hAnsi="Times New Roman" w:cs="Times New Roman"/>
                      <w:bCs/>
                      <w:sz w:val="21"/>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66" w:type="dxa"/>
                  <w:vMerge w:val="continue"/>
                  <w:tcBorders>
                    <w:tl2br w:val="nil"/>
                    <w:tr2bl w:val="nil"/>
                  </w:tcBorders>
                  <w:vAlign w:val="center"/>
                </w:tcPr>
                <w:p>
                  <w:pPr>
                    <w:widowControl/>
                    <w:tabs>
                      <w:tab w:val="center" w:pos="4153"/>
                      <w:tab w:val="right" w:pos="8306"/>
                    </w:tabs>
                    <w:snapToGrid w:val="0"/>
                    <w:jc w:val="left"/>
                    <w:rPr>
                      <w:rFonts w:ascii="Times New Roman" w:hAnsi="Times New Roman" w:cs="Times New Roman"/>
                      <w:bCs/>
                      <w:sz w:val="21"/>
                      <w:szCs w:val="21"/>
                    </w:rPr>
                  </w:pP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中</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小</w:t>
                  </w:r>
                </w:p>
              </w:tc>
              <w:tc>
                <w:tcPr>
                  <w:tcW w:w="818"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大</w:t>
                  </w:r>
                </w:p>
              </w:tc>
              <w:tc>
                <w:tcPr>
                  <w:tcW w:w="816"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中</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小</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中</w:t>
                  </w:r>
                </w:p>
              </w:tc>
              <w:tc>
                <w:tcPr>
                  <w:tcW w:w="713"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66"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敏感</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一级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一级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一级</w:t>
                  </w:r>
                </w:p>
              </w:tc>
              <w:tc>
                <w:tcPr>
                  <w:tcW w:w="818"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二级</w:t>
                  </w:r>
                </w:p>
              </w:tc>
              <w:tc>
                <w:tcPr>
                  <w:tcW w:w="816"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二级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二级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三级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三级</w:t>
                  </w:r>
                </w:p>
              </w:tc>
              <w:tc>
                <w:tcPr>
                  <w:tcW w:w="713"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66"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较敏感</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一级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一级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二级</w:t>
                  </w:r>
                </w:p>
              </w:tc>
              <w:tc>
                <w:tcPr>
                  <w:tcW w:w="818"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二级</w:t>
                  </w:r>
                </w:p>
              </w:tc>
              <w:tc>
                <w:tcPr>
                  <w:tcW w:w="816"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二级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三级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三级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三级</w:t>
                  </w:r>
                </w:p>
              </w:tc>
              <w:tc>
                <w:tcPr>
                  <w:tcW w:w="713"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66"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不敏感</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一级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二级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二级</w:t>
                  </w:r>
                </w:p>
              </w:tc>
              <w:tc>
                <w:tcPr>
                  <w:tcW w:w="818"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二级</w:t>
                  </w:r>
                </w:p>
              </w:tc>
              <w:tc>
                <w:tcPr>
                  <w:tcW w:w="816"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三级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三级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三级</w:t>
                  </w:r>
                </w:p>
              </w:tc>
              <w:tc>
                <w:tcPr>
                  <w:tcW w:w="817"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rPr>
                    <w:t>-</w:t>
                  </w:r>
                </w:p>
              </w:tc>
              <w:tc>
                <w:tcPr>
                  <w:tcW w:w="713" w:type="dxa"/>
                  <w:tcBorders>
                    <w:tl2br w:val="nil"/>
                    <w:tr2bl w:val="nil"/>
                  </w:tcBorders>
                  <w:vAlign w:val="center"/>
                </w:tcPr>
                <w:p>
                  <w:pPr>
                    <w:tabs>
                      <w:tab w:val="center" w:pos="4153"/>
                      <w:tab w:val="right" w:pos="8306"/>
                    </w:tabs>
                    <w:snapToGrid w:val="0"/>
                    <w:jc w:val="center"/>
                    <w:rPr>
                      <w:rFonts w:ascii="Times New Roman" w:hAnsi="Times New Roman" w:cs="Times New Roman"/>
                      <w:bCs/>
                      <w:sz w:val="21"/>
                      <w:szCs w:val="21"/>
                    </w:rPr>
                  </w:pPr>
                  <w:r>
                    <w:rPr>
                      <w:rFonts w:ascii="Times New Roman" w:hAnsi="Times New Roman" w:cs="Times New Roman"/>
                      <w:bCs/>
                      <w:sz w:val="21"/>
                      <w:szCs w:val="21"/>
                      <w:highlight w:val="red"/>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15" w:type="dxa"/>
                  <w:gridSpan w:val="10"/>
                  <w:tcBorders>
                    <w:tl2br w:val="nil"/>
                    <w:tr2bl w:val="nil"/>
                  </w:tcBorders>
                  <w:vAlign w:val="center"/>
                </w:tcPr>
                <w:p>
                  <w:pPr>
                    <w:tabs>
                      <w:tab w:val="center" w:pos="4153"/>
                      <w:tab w:val="right" w:pos="8306"/>
                    </w:tabs>
                    <w:snapToGrid w:val="0"/>
                    <w:jc w:val="left"/>
                    <w:rPr>
                      <w:rFonts w:ascii="Times New Roman" w:hAnsi="Times New Roman" w:cs="Times New Roman"/>
                      <w:bCs/>
                      <w:sz w:val="21"/>
                      <w:szCs w:val="21"/>
                    </w:rPr>
                  </w:pPr>
                  <w:r>
                    <w:rPr>
                      <w:rFonts w:ascii="Times New Roman" w:hAnsi="Times New Roman" w:cs="Times New Roman"/>
                      <w:bCs/>
                      <w:sz w:val="21"/>
                      <w:szCs w:val="21"/>
                    </w:rPr>
                    <w:t xml:space="preserve">  注：</w:t>
                  </w:r>
                  <w:r>
                    <w:rPr>
                      <w:rFonts w:hint="eastAsia" w:ascii="Times New Roman" w:hAnsi="Times New Roman" w:cs="Times New Roman"/>
                      <w:bCs/>
                      <w:sz w:val="21"/>
                      <w:szCs w:val="21"/>
                    </w:rPr>
                    <w:t>“</w:t>
                  </w:r>
                  <w:r>
                    <w:rPr>
                      <w:rFonts w:ascii="Times New Roman" w:hAnsi="Times New Roman" w:cs="Times New Roman"/>
                      <w:bCs/>
                      <w:sz w:val="21"/>
                      <w:szCs w:val="21"/>
                    </w:rPr>
                    <w:t>-</w:t>
                  </w:r>
                  <w:r>
                    <w:rPr>
                      <w:rFonts w:hint="eastAsia" w:ascii="Times New Roman" w:hAnsi="Times New Roman" w:cs="Times New Roman"/>
                      <w:bCs/>
                      <w:sz w:val="21"/>
                      <w:szCs w:val="21"/>
                    </w:rPr>
                    <w:t>”</w:t>
                  </w:r>
                  <w:r>
                    <w:rPr>
                      <w:rFonts w:ascii="Times New Roman" w:hAnsi="Times New Roman" w:cs="Times New Roman"/>
                      <w:bCs/>
                      <w:sz w:val="21"/>
                      <w:szCs w:val="21"/>
                    </w:rPr>
                    <w:t>表示可不开展土壤环境影响评价工作。</w:t>
                  </w:r>
                </w:p>
              </w:tc>
            </w:tr>
          </w:tbl>
          <w:p>
            <w:pPr>
              <w:adjustRightInd w:val="0"/>
              <w:snapToGrid w:val="0"/>
              <w:spacing w:before="190" w:beforeLines="50" w:line="360" w:lineRule="auto"/>
              <w:ind w:firstLine="470" w:firstLineChars="196"/>
              <w:rPr>
                <w:rFonts w:ascii="Times New Roman" w:hAnsi="Times New Roman" w:cs="Times New Roman"/>
                <w:sz w:val="24"/>
                <w:szCs w:val="20"/>
              </w:rPr>
            </w:pPr>
            <w:r>
              <w:rPr>
                <w:rFonts w:ascii="Times New Roman" w:hAnsi="Times New Roman" w:cs="Times New Roman"/>
                <w:sz w:val="24"/>
                <w:szCs w:val="20"/>
              </w:rPr>
              <w:t>由上表可知，本项目属于</w:t>
            </w:r>
            <w:r>
              <w:rPr>
                <w:rFonts w:ascii="Times New Roman" w:hAnsi="Times New Roman" w:cs="Times New Roman"/>
                <w:sz w:val="24"/>
                <w:szCs w:val="20"/>
              </w:rPr>
              <w:fldChar w:fldCharType="begin"/>
            </w:r>
            <w:r>
              <w:rPr>
                <w:rFonts w:ascii="Times New Roman" w:hAnsi="Times New Roman" w:cs="Times New Roman"/>
                <w:sz w:val="24"/>
                <w:szCs w:val="20"/>
              </w:rPr>
              <w:instrText xml:space="preserve"> = 3 \* ROMAN </w:instrText>
            </w:r>
            <w:r>
              <w:rPr>
                <w:rFonts w:ascii="Times New Roman" w:hAnsi="Times New Roman" w:cs="Times New Roman"/>
                <w:sz w:val="24"/>
                <w:szCs w:val="20"/>
              </w:rPr>
              <w:fldChar w:fldCharType="separate"/>
            </w:r>
            <w:r>
              <w:rPr>
                <w:rFonts w:ascii="Times New Roman" w:hAnsi="Times New Roman" w:cs="Times New Roman"/>
                <w:sz w:val="24"/>
                <w:szCs w:val="20"/>
              </w:rPr>
              <w:t>III</w:t>
            </w:r>
            <w:r>
              <w:rPr>
                <w:rFonts w:ascii="Times New Roman" w:hAnsi="Times New Roman" w:cs="Times New Roman"/>
                <w:sz w:val="24"/>
                <w:szCs w:val="20"/>
              </w:rPr>
              <w:fldChar w:fldCharType="end"/>
            </w:r>
            <w:r>
              <w:rPr>
                <w:rFonts w:ascii="Times New Roman" w:hAnsi="Times New Roman" w:cs="Times New Roman"/>
                <w:sz w:val="24"/>
                <w:szCs w:val="20"/>
              </w:rPr>
              <w:t>类项目，占地面积属于小型，土壤环境敏感程度为不敏感，对照《环境影响评价技术导则 土壤环境（试行）》（HJ964-2018）污染影响型评价工作等级划分表可知，本项目</w:t>
            </w:r>
            <w:r>
              <w:rPr>
                <w:rFonts w:hint="eastAsia" w:ascii="Times New Roman" w:hAnsi="Times New Roman" w:cs="Times New Roman"/>
                <w:sz w:val="24"/>
                <w:szCs w:val="20"/>
              </w:rPr>
              <w:t>无需进行土壤环境影响评价</w:t>
            </w:r>
            <w:r>
              <w:rPr>
                <w:rFonts w:ascii="Times New Roman" w:hAnsi="Times New Roman" w:cs="Times New Roman"/>
                <w:sz w:val="24"/>
                <w:szCs w:val="20"/>
              </w:rPr>
              <w:t>。</w:t>
            </w:r>
          </w:p>
          <w:p>
            <w:pPr>
              <w:pStyle w:val="3"/>
              <w:spacing w:before="304" w:beforeLines="80" w:after="114"/>
              <w:rPr>
                <w:lang w:eastAsia="zh-CN"/>
              </w:rPr>
            </w:pPr>
            <w:bookmarkStart w:id="1" w:name="3、环境风险影响分析"/>
            <w:bookmarkEnd w:id="1"/>
            <w:r>
              <w:rPr>
                <w:rFonts w:hint="eastAsia"/>
                <w:lang w:eastAsia="zh-CN"/>
              </w:rPr>
              <w:t>6、选址合理性分析</w:t>
            </w:r>
          </w:p>
          <w:p>
            <w:pPr>
              <w:adjustRightInd w:val="0"/>
              <w:snapToGrid w:val="0"/>
              <w:spacing w:line="360" w:lineRule="auto"/>
              <w:ind w:firstLine="480" w:firstLineChars="200"/>
              <w:jc w:val="left"/>
              <w:rPr>
                <w:rFonts w:ascii="Times New Roman" w:hAnsi="Times New Roman" w:cs="Times New Roman"/>
                <w:color w:val="FF0000"/>
                <w:sz w:val="24"/>
                <w:szCs w:val="24"/>
              </w:rPr>
            </w:pPr>
            <w:r>
              <w:rPr>
                <w:rFonts w:hint="eastAsia" w:ascii="Times New Roman" w:hAnsi="Times New Roman" w:cs="Times New Roman"/>
                <w:sz w:val="24"/>
                <w:szCs w:val="24"/>
              </w:rPr>
              <w:t xml:space="preserve">6.1 </w:t>
            </w:r>
            <w:r>
              <w:rPr>
                <w:rFonts w:ascii="Times New Roman" w:hAnsi="Times New Roman" w:cs="Times New Roman"/>
                <w:sz w:val="24"/>
                <w:szCs w:val="24"/>
              </w:rPr>
              <w:t>本扩建项目利用原有项目厂房，选址位于新乡市新乡经济技术开发区支一路与支四路交叉口向东150米，厂区中心地理坐标为：经度 114°3′50.84″；纬度 35°17′21.29″。根据《新乡工业产业集聚区（后更名为新乡经济技术开发区）发展规划环境影响报告书》用地规划图显示，该项目用地属于一类工业用地，符合新乡经济技术开发区用地规划要求。</w:t>
            </w:r>
          </w:p>
          <w:p>
            <w:pPr>
              <w:adjustRightInd w:val="0"/>
              <w:snapToGrid w:val="0"/>
              <w:spacing w:line="360" w:lineRule="auto"/>
              <w:ind w:firstLine="482"/>
              <w:jc w:val="left"/>
              <w:textAlignment w:val="baseline"/>
              <w:rPr>
                <w:rFonts w:ascii="Times New Roman" w:hAnsi="Times New Roman" w:cs="Times New Roman"/>
                <w:sz w:val="24"/>
                <w:szCs w:val="24"/>
              </w:rPr>
            </w:pPr>
            <w:r>
              <w:rPr>
                <w:rFonts w:hint="eastAsia" w:ascii="Times New Roman" w:hAnsi="Times New Roman" w:cs="Times New Roman"/>
                <w:sz w:val="24"/>
                <w:szCs w:val="24"/>
              </w:rPr>
              <w:t xml:space="preserve">6.2 </w:t>
            </w:r>
            <w:r>
              <w:rPr>
                <w:rFonts w:ascii="Times New Roman" w:hAnsi="Times New Roman" w:cs="Times New Roman"/>
                <w:sz w:val="24"/>
                <w:szCs w:val="24"/>
              </w:rPr>
              <w:t>与项目选址最近的地表水源地为凤泉水厂地下水饮用水源保护区，距离约为19.95km；相距较远，与项目选址最近的地下水保护水源地为古固寨镇地下水饮用水源，距离约7.75km，距离较远，因此。本项目不在水源地保护区范围内，不会对其造成影响。</w:t>
            </w:r>
          </w:p>
          <w:p>
            <w:pPr>
              <w:adjustRightInd w:val="0"/>
              <w:snapToGrid w:val="0"/>
              <w:spacing w:line="360" w:lineRule="auto"/>
              <w:ind w:firstLine="482"/>
              <w:jc w:val="left"/>
              <w:textAlignment w:val="baseline"/>
              <w:rPr>
                <w:rFonts w:ascii="Times New Roman" w:hAnsi="Times New Roman" w:cs="Times New Roman"/>
                <w:sz w:val="24"/>
                <w:szCs w:val="24"/>
              </w:rPr>
            </w:pPr>
            <w:r>
              <w:rPr>
                <w:rFonts w:ascii="Times New Roman" w:hAnsi="Times New Roman" w:cs="Times New Roman"/>
                <w:sz w:val="24"/>
                <w:szCs w:val="24"/>
              </w:rPr>
              <w:t>本项目评价范围内无自然保护区、风景名胜区、饮用水源保护区等保护目标。。</w:t>
            </w:r>
          </w:p>
          <w:p>
            <w:pPr>
              <w:adjustRightInd w:val="0"/>
              <w:snapToGrid w:val="0"/>
              <w:spacing w:line="360" w:lineRule="auto"/>
              <w:ind w:firstLine="482"/>
              <w:jc w:val="left"/>
              <w:textAlignment w:val="baseline"/>
              <w:rPr>
                <w:rFonts w:ascii="Times New Roman" w:hAnsi="Times New Roman" w:cs="Times New Roman"/>
                <w:spacing w:val="-4"/>
                <w:sz w:val="24"/>
                <w:szCs w:val="24"/>
              </w:rPr>
            </w:pPr>
            <w:r>
              <w:rPr>
                <w:rFonts w:hint="eastAsia" w:ascii="Times New Roman" w:hAnsi="Times New Roman" w:cs="Times New Roman"/>
                <w:spacing w:val="-4"/>
                <w:sz w:val="24"/>
                <w:szCs w:val="24"/>
              </w:rPr>
              <w:t xml:space="preserve">6.3 </w:t>
            </w:r>
            <w:r>
              <w:rPr>
                <w:rFonts w:ascii="Times New Roman" w:hAnsi="Times New Roman" w:cs="Times New Roman"/>
                <w:spacing w:val="-4"/>
                <w:sz w:val="24"/>
                <w:szCs w:val="24"/>
              </w:rPr>
              <w:t>项目废气、废水和噪声等污染物在采取评价要求和建议的防治措施后，各污染物均能实现达标排放或综合利用，固废处置措施合理，对区域环境影响可以接受。</w:t>
            </w:r>
          </w:p>
          <w:p>
            <w:pPr>
              <w:adjustRightInd w:val="0"/>
              <w:snapToGrid w:val="0"/>
              <w:spacing w:line="360" w:lineRule="auto"/>
              <w:ind w:firstLine="482"/>
              <w:jc w:val="left"/>
              <w:textAlignment w:val="baseline"/>
              <w:rPr>
                <w:rFonts w:ascii="Times New Roman" w:hAnsi="Times New Roman" w:cs="Times New Roman"/>
                <w:bCs/>
                <w:sz w:val="24"/>
                <w:szCs w:val="24"/>
              </w:rPr>
            </w:pPr>
            <w:r>
              <w:rPr>
                <w:rFonts w:ascii="Times New Roman" w:hAnsi="Times New Roman" w:cs="Times New Roman"/>
                <w:sz w:val="24"/>
                <w:szCs w:val="24"/>
              </w:rPr>
              <w:t>综上所述，从环保角度而言，项目选址可行。</w:t>
            </w:r>
          </w:p>
          <w:p>
            <w:pPr>
              <w:adjustRightInd w:val="0"/>
              <w:snapToGrid w:val="0"/>
              <w:spacing w:before="190" w:beforeLines="50" w:line="360" w:lineRule="auto"/>
              <w:rPr>
                <w:rFonts w:ascii="Times New Roman" w:hAnsi="Times New Roman" w:cs="Times New Roman"/>
                <w:b/>
                <w:bCs/>
                <w:sz w:val="24"/>
                <w:szCs w:val="24"/>
              </w:rPr>
            </w:pPr>
            <w:r>
              <w:rPr>
                <w:rFonts w:hint="eastAsia" w:ascii="Times New Roman" w:hAnsi="Times New Roman" w:cs="Times New Roman"/>
                <w:b/>
                <w:bCs/>
                <w:sz w:val="24"/>
                <w:szCs w:val="24"/>
              </w:rPr>
              <w:t>7、环保投资一览表</w:t>
            </w:r>
          </w:p>
          <w:p>
            <w:pPr>
              <w:adjustRightInd w:val="0"/>
              <w:snapToGrid w:val="0"/>
              <w:spacing w:line="360" w:lineRule="auto"/>
              <w:ind w:firstLine="480" w:firstLineChars="200"/>
              <w:jc w:val="left"/>
              <w:rPr>
                <w:rFonts w:ascii="Times New Roman" w:hAnsi="Times New Roman" w:cs="Times New Roman" w:eastAsiaTheme="minorEastAsia"/>
                <w:sz w:val="24"/>
                <w:szCs w:val="24"/>
              </w:rPr>
            </w:pPr>
            <w:r>
              <w:rPr>
                <w:rFonts w:ascii="Times New Roman" w:hAnsi="Times New Roman" w:cs="Times New Roman"/>
                <w:sz w:val="24"/>
                <w:szCs w:val="24"/>
              </w:rPr>
              <w:t>本项目营运期各项污染因素经采取相应的污染防治措施后，均能做到妥善处理和处置，项目环保投资见</w:t>
            </w:r>
            <w:r>
              <w:rPr>
                <w:rFonts w:hint="eastAsia" w:ascii="Times New Roman" w:hAnsi="Times New Roman" w:cs="Times New Roman"/>
                <w:sz w:val="24"/>
                <w:szCs w:val="24"/>
              </w:rPr>
              <w:t>表54</w:t>
            </w:r>
            <w:r>
              <w:rPr>
                <w:rFonts w:ascii="Times New Roman" w:hAnsi="Times New Roman" w:cs="Times New Roman"/>
                <w:sz w:val="24"/>
                <w:szCs w:val="24"/>
              </w:rPr>
              <w:t>。本项目环保总投资为</w:t>
            </w:r>
            <w:r>
              <w:rPr>
                <w:rFonts w:hint="eastAsia" w:ascii="Times New Roman" w:hAnsi="Times New Roman" w:cs="Times New Roman"/>
                <w:sz w:val="24"/>
                <w:szCs w:val="24"/>
              </w:rPr>
              <w:t>15</w:t>
            </w:r>
            <w:r>
              <w:rPr>
                <w:rFonts w:ascii="Times New Roman" w:hAnsi="Times New Roman" w:cs="Times New Roman"/>
                <w:sz w:val="24"/>
                <w:szCs w:val="24"/>
              </w:rPr>
              <w:t>万元，占项目总投资</w:t>
            </w:r>
            <w:r>
              <w:rPr>
                <w:rFonts w:hint="eastAsia" w:ascii="Times New Roman" w:hAnsi="Times New Roman" w:cs="Times New Roman"/>
                <w:sz w:val="24"/>
                <w:szCs w:val="24"/>
              </w:rPr>
              <w:t>2.5</w:t>
            </w:r>
            <w:r>
              <w:rPr>
                <w:rFonts w:ascii="Times New Roman" w:hAnsi="Times New Roman" w:cs="Times New Roman"/>
                <w:sz w:val="24"/>
                <w:szCs w:val="24"/>
              </w:rPr>
              <w:t>％。</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54</w:t>
            </w:r>
            <w:r>
              <w:rPr>
                <w:rFonts w:ascii="Times New Roman" w:hAnsi="Times New Roman" w:cs="Times New Roman"/>
                <w:b/>
                <w:bCs/>
                <w:sz w:val="22"/>
                <w:szCs w:val="22"/>
              </w:rPr>
              <w:fldChar w:fldCharType="end"/>
            </w:r>
            <w:r>
              <w:rPr>
                <w:rFonts w:ascii="Times New Roman" w:hAnsi="Times New Roman" w:cs="Times New Roman"/>
                <w:b/>
                <w:bCs/>
                <w:sz w:val="22"/>
                <w:szCs w:val="22"/>
              </w:rPr>
              <w:t>项目工程环保投资一览表</w:t>
            </w:r>
          </w:p>
          <w:tbl>
            <w:tblPr>
              <w:tblStyle w:val="28"/>
              <w:tblW w:w="85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314"/>
              <w:gridCol w:w="5071"/>
              <w:gridCol w:w="11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21"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序号</w:t>
                  </w:r>
                </w:p>
              </w:tc>
              <w:tc>
                <w:tcPr>
                  <w:tcW w:w="1314"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项目内容</w:t>
                  </w:r>
                </w:p>
              </w:tc>
              <w:tc>
                <w:tcPr>
                  <w:tcW w:w="5071" w:type="dxa"/>
                  <w:tcBorders>
                    <w:tl2br w:val="nil"/>
                    <w:tr2bl w:val="nil"/>
                  </w:tcBorders>
                  <w:vAlign w:val="center"/>
                </w:tcPr>
                <w:p>
                  <w:pPr>
                    <w:pStyle w:val="75"/>
                    <w:snapToGrid w:val="0"/>
                    <w:spacing w:line="288"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环保设施</w:t>
                  </w:r>
                </w:p>
              </w:tc>
              <w:tc>
                <w:tcPr>
                  <w:tcW w:w="1180"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投资金额</w:t>
                  </w:r>
                </w:p>
                <w:p>
                  <w:pPr>
                    <w:pStyle w:val="75"/>
                    <w:snapToGrid w:val="0"/>
                    <w:spacing w:line="288" w:lineRule="auto"/>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314"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废气治理</w:t>
                  </w:r>
                </w:p>
              </w:tc>
              <w:tc>
                <w:tcPr>
                  <w:tcW w:w="5071" w:type="dxa"/>
                  <w:tcBorders>
                    <w:tl2br w:val="nil"/>
                    <w:tr2bl w:val="nil"/>
                  </w:tcBorders>
                  <w:vAlign w:val="center"/>
                </w:tcPr>
                <w:p>
                  <w:pPr>
                    <w:pStyle w:val="75"/>
                    <w:snapToGrid w:val="0"/>
                    <w:spacing w:line="288"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切割、打磨、焊接工序采用集气罩收集后引致脉冲式袋式除尘器治理后，尾气通过1根15m高排气筒排放</w:t>
                  </w:r>
                </w:p>
              </w:tc>
              <w:tc>
                <w:tcPr>
                  <w:tcW w:w="1180"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1314"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废水治理</w:t>
                  </w:r>
                </w:p>
              </w:tc>
              <w:tc>
                <w:tcPr>
                  <w:tcW w:w="5071" w:type="dxa"/>
                  <w:tcBorders>
                    <w:tl2br w:val="nil"/>
                    <w:tr2bl w:val="nil"/>
                  </w:tcBorders>
                  <w:vAlign w:val="center"/>
                </w:tcPr>
                <w:p>
                  <w:pPr>
                    <w:spacing w:line="288" w:lineRule="auto"/>
                    <w:jc w:val="center"/>
                    <w:rPr>
                      <w:rFonts w:ascii="Times New Roman" w:hAnsi="Times New Roman" w:cs="Times New Roman"/>
                      <w:sz w:val="21"/>
                      <w:szCs w:val="21"/>
                    </w:rPr>
                  </w:pPr>
                  <w:r>
                    <w:rPr>
                      <w:rFonts w:ascii="Times New Roman" w:hAnsi="Times New Roman" w:cs="Times New Roman"/>
                      <w:sz w:val="21"/>
                      <w:szCs w:val="21"/>
                    </w:rPr>
                    <w:t>化粪池</w:t>
                  </w:r>
                </w:p>
              </w:tc>
              <w:tc>
                <w:tcPr>
                  <w:tcW w:w="1180" w:type="dxa"/>
                  <w:tcBorders>
                    <w:tl2br w:val="nil"/>
                    <w:tr2bl w:val="nil"/>
                  </w:tcBorders>
                  <w:tcMar>
                    <w:top w:w="85" w:type="dxa"/>
                    <w:bottom w:w="85" w:type="dxa"/>
                  </w:tcMar>
                  <w:vAlign w:val="center"/>
                </w:tcPr>
                <w:p>
                  <w:pPr>
                    <w:spacing w:line="288" w:lineRule="auto"/>
                    <w:jc w:val="center"/>
                    <w:rPr>
                      <w:rFonts w:ascii="Times New Roman" w:hAnsi="Times New Roman" w:cs="Times New Roman"/>
                      <w:sz w:val="21"/>
                      <w:szCs w:val="21"/>
                    </w:rPr>
                  </w:pPr>
                  <w:r>
                    <w:rPr>
                      <w:rFonts w:hint="eastAsia" w:ascii="Times New Roman" w:hAnsi="Times New Roman" w:cs="Times New Roman"/>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1314"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噪声治理</w:t>
                  </w:r>
                </w:p>
              </w:tc>
              <w:tc>
                <w:tcPr>
                  <w:tcW w:w="5071" w:type="dxa"/>
                  <w:tcBorders>
                    <w:tl2br w:val="nil"/>
                    <w:tr2bl w:val="nil"/>
                  </w:tcBorders>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室内布置、减振基础、隔音等</w:t>
                  </w:r>
                </w:p>
              </w:tc>
              <w:tc>
                <w:tcPr>
                  <w:tcW w:w="1180"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1314"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固废治理</w:t>
                  </w:r>
                </w:p>
              </w:tc>
              <w:tc>
                <w:tcPr>
                  <w:tcW w:w="5071" w:type="dxa"/>
                  <w:tcBorders>
                    <w:tl2br w:val="nil"/>
                    <w:tr2bl w:val="nil"/>
                  </w:tcBorders>
                  <w:vAlign w:val="center"/>
                </w:tcPr>
                <w:p>
                  <w:pPr>
                    <w:pStyle w:val="75"/>
                    <w:snapToGrid w:val="0"/>
                    <w:spacing w:line="288"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工业级吸尘器、</w:t>
                  </w:r>
                  <w:r>
                    <w:rPr>
                      <w:rFonts w:ascii="Times New Roman" w:hAnsi="Times New Roman" w:eastAsia="宋体" w:cs="Times New Roman"/>
                      <w:sz w:val="21"/>
                      <w:szCs w:val="21"/>
                    </w:rPr>
                    <w:t>一般固废暂存间（</w:t>
                  </w:r>
                  <w:r>
                    <w:rPr>
                      <w:rFonts w:hint="eastAsia" w:ascii="Times New Roman" w:hAnsi="Times New Roman" w:eastAsia="宋体" w:cs="Times New Roman"/>
                      <w:sz w:val="21"/>
                      <w:szCs w:val="21"/>
                    </w:rPr>
                    <w:t>10</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），垃圾箱若干、危险固废暂存间（</w:t>
                  </w:r>
                  <w:r>
                    <w:rPr>
                      <w:rFonts w:hint="eastAsia" w:ascii="Times New Roman" w:hAnsi="Times New Roman" w:eastAsia="宋体" w:cs="Times New Roman"/>
                      <w:sz w:val="21"/>
                      <w:szCs w:val="21"/>
                    </w:rPr>
                    <w:t>4</w:t>
                  </w:r>
                  <w:r>
                    <w:rPr>
                      <w:rFonts w:ascii="Times New Roman" w:hAnsi="Times New Roman" w:eastAsia="宋体" w:cs="Times New Roman"/>
                      <w:sz w:val="21"/>
                      <w:szCs w:val="21"/>
                    </w:rPr>
                    <w:t>m</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w:t>
                  </w:r>
                </w:p>
              </w:tc>
              <w:tc>
                <w:tcPr>
                  <w:tcW w:w="1180"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314"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环境管理</w:t>
                  </w:r>
                </w:p>
              </w:tc>
              <w:tc>
                <w:tcPr>
                  <w:tcW w:w="5071" w:type="dxa"/>
                  <w:tcBorders>
                    <w:tl2br w:val="nil"/>
                    <w:tr2bl w:val="nil"/>
                  </w:tcBorders>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总用电控制位置、主要生产设施和除尘器处安装用电量监控系统终端</w:t>
                  </w:r>
                </w:p>
              </w:tc>
              <w:tc>
                <w:tcPr>
                  <w:tcW w:w="1180"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w:t>
                  </w:r>
                </w:p>
              </w:tc>
              <w:tc>
                <w:tcPr>
                  <w:tcW w:w="6385" w:type="dxa"/>
                  <w:gridSpan w:val="2"/>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合计</w:t>
                  </w:r>
                </w:p>
              </w:tc>
              <w:tc>
                <w:tcPr>
                  <w:tcW w:w="1180" w:type="dxa"/>
                  <w:tcBorders>
                    <w:tl2br w:val="nil"/>
                    <w:tr2bl w:val="nil"/>
                  </w:tcBorders>
                  <w:tcMar>
                    <w:top w:w="85" w:type="dxa"/>
                    <w:bottom w:w="85" w:type="dxa"/>
                  </w:tcMar>
                  <w:vAlign w:val="center"/>
                </w:tcPr>
                <w:p>
                  <w:pPr>
                    <w:pStyle w:val="75"/>
                    <w:snapToGrid w:val="0"/>
                    <w:spacing w:line="288"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w:t>
                  </w:r>
                </w:p>
              </w:tc>
            </w:tr>
          </w:tbl>
          <w:p>
            <w:pPr>
              <w:pStyle w:val="3"/>
              <w:spacing w:before="304" w:beforeLines="80" w:after="114"/>
              <w:rPr>
                <w:lang w:eastAsia="zh-CN"/>
              </w:rPr>
            </w:pPr>
            <w:r>
              <w:rPr>
                <w:rFonts w:hint="eastAsia"/>
                <w:lang w:eastAsia="zh-CN"/>
              </w:rPr>
              <w:t>9、污染防治措施及竣工验收一览表</w:t>
            </w:r>
          </w:p>
          <w:p>
            <w:pPr>
              <w:pStyle w:val="14"/>
              <w:adjustRightInd w:val="0"/>
              <w:snapToGrid w:val="0"/>
              <w:rPr>
                <w:rFonts w:ascii="Times New Roman" w:hAnsi="Times New Roman" w:cs="Times New Roman"/>
                <w:b/>
                <w:szCs w:val="24"/>
              </w:rPr>
            </w:pPr>
            <w:r>
              <w:rPr>
                <w:rFonts w:ascii="Times New Roman" w:hAnsi="Times New Roman" w:cs="Times New Roman"/>
                <w:szCs w:val="24"/>
              </w:rPr>
              <w:t>本项目污染防治措施及环保验收指标见</w:t>
            </w:r>
            <w:r>
              <w:rPr>
                <w:rFonts w:hint="eastAsia" w:ascii="Times New Roman" w:hAnsi="Times New Roman" w:cs="Times New Roman"/>
                <w:szCs w:val="24"/>
              </w:rPr>
              <w:t>表55。</w:t>
            </w:r>
          </w:p>
          <w:p>
            <w:pPr>
              <w:pStyle w:val="10"/>
              <w:spacing w:before="114" w:beforeLines="30" w:after="114" w:afterLines="30"/>
              <w:jc w:val="center"/>
              <w:rPr>
                <w:rFonts w:ascii="Times New Roman" w:hAnsi="Times New Roman" w:cs="Times New Roman"/>
                <w:b/>
                <w:bCs/>
                <w:sz w:val="22"/>
                <w:szCs w:val="22"/>
              </w:rPr>
            </w:pPr>
            <w:r>
              <w:rPr>
                <w:rFonts w:ascii="Times New Roman" w:hAnsi="Times New Roman" w:cs="Times New Roman"/>
                <w:b/>
                <w:bCs/>
                <w:sz w:val="22"/>
                <w:szCs w:val="22"/>
              </w:rPr>
              <w:t xml:space="preserve">表 </w:t>
            </w:r>
            <w:r>
              <w:rPr>
                <w:rFonts w:ascii="Times New Roman" w:hAnsi="Times New Roman" w:cs="Times New Roman"/>
                <w:b/>
                <w:bCs/>
                <w:sz w:val="22"/>
                <w:szCs w:val="22"/>
              </w:rPr>
              <w:fldChar w:fldCharType="begin"/>
            </w:r>
            <w:r>
              <w:rPr>
                <w:rFonts w:ascii="Times New Roman" w:hAnsi="Times New Roman" w:cs="Times New Roman"/>
                <w:b/>
                <w:bCs/>
                <w:sz w:val="22"/>
                <w:szCs w:val="22"/>
              </w:rPr>
              <w:instrText xml:space="preserve"> SEQ 表 \* ARABIC </w:instrText>
            </w:r>
            <w:r>
              <w:rPr>
                <w:rFonts w:ascii="Times New Roman" w:hAnsi="Times New Roman" w:cs="Times New Roman"/>
                <w:b/>
                <w:bCs/>
                <w:sz w:val="22"/>
                <w:szCs w:val="22"/>
              </w:rPr>
              <w:fldChar w:fldCharType="separate"/>
            </w:r>
            <w:r>
              <w:rPr>
                <w:rFonts w:ascii="Times New Roman" w:hAnsi="Times New Roman" w:cs="Times New Roman"/>
                <w:b/>
                <w:bCs/>
                <w:sz w:val="22"/>
                <w:szCs w:val="22"/>
              </w:rPr>
              <w:t>55</w:t>
            </w:r>
            <w:r>
              <w:rPr>
                <w:rFonts w:ascii="Times New Roman" w:hAnsi="Times New Roman" w:cs="Times New Roman"/>
                <w:b/>
                <w:bCs/>
                <w:sz w:val="22"/>
                <w:szCs w:val="22"/>
              </w:rPr>
              <w:fldChar w:fldCharType="end"/>
            </w:r>
            <w:r>
              <w:rPr>
                <w:rFonts w:hint="eastAsia" w:ascii="Times New Roman" w:hAnsi="Times New Roman" w:cs="Times New Roman"/>
                <w:b/>
                <w:bCs/>
                <w:sz w:val="22"/>
                <w:szCs w:val="22"/>
              </w:rPr>
              <w:t xml:space="preserve"> </w:t>
            </w:r>
            <w:r>
              <w:rPr>
                <w:rFonts w:ascii="Times New Roman" w:hAnsi="Times New Roman" w:cs="Times New Roman"/>
                <w:b/>
                <w:bCs/>
                <w:sz w:val="22"/>
                <w:szCs w:val="22"/>
              </w:rPr>
              <w:t>本项目污染物防治措施及</w:t>
            </w:r>
            <w:r>
              <w:rPr>
                <w:rFonts w:hint="eastAsia" w:ascii="Times New Roman" w:hAnsi="Times New Roman" w:eastAsia="宋体" w:cs="Times New Roman"/>
                <w:b/>
                <w:bCs/>
                <w:sz w:val="22"/>
                <w:szCs w:val="22"/>
              </w:rPr>
              <w:t>竣工验收</w:t>
            </w:r>
            <w:r>
              <w:rPr>
                <w:rFonts w:ascii="Times New Roman" w:hAnsi="Times New Roman" w:cs="Times New Roman"/>
                <w:b/>
                <w:bCs/>
                <w:sz w:val="22"/>
                <w:szCs w:val="22"/>
              </w:rPr>
              <w:t>一览表</w:t>
            </w:r>
          </w:p>
          <w:tbl>
            <w:tblPr>
              <w:tblStyle w:val="28"/>
              <w:tblW w:w="858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5"/>
              <w:gridCol w:w="1401"/>
              <w:gridCol w:w="1288"/>
              <w:gridCol w:w="2554"/>
              <w:gridCol w:w="26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665"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污染因子</w:t>
                  </w:r>
                </w:p>
              </w:tc>
              <w:tc>
                <w:tcPr>
                  <w:tcW w:w="1401"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产污环节</w:t>
                  </w:r>
                </w:p>
              </w:tc>
              <w:tc>
                <w:tcPr>
                  <w:tcW w:w="128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污染物名称</w:t>
                  </w:r>
                </w:p>
              </w:tc>
              <w:tc>
                <w:tcPr>
                  <w:tcW w:w="2554"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验收内容</w:t>
                  </w:r>
                </w:p>
              </w:tc>
              <w:tc>
                <w:tcPr>
                  <w:tcW w:w="267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执行标准及限值要求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40" w:hRule="atLeast"/>
                <w:jc w:val="center"/>
              </w:trPr>
              <w:tc>
                <w:tcPr>
                  <w:tcW w:w="665"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废气</w:t>
                  </w:r>
                </w:p>
              </w:tc>
              <w:tc>
                <w:tcPr>
                  <w:tcW w:w="1401"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下料、焊接、打磨</w:t>
                  </w:r>
                </w:p>
              </w:tc>
              <w:tc>
                <w:tcPr>
                  <w:tcW w:w="128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颗粒物</w:t>
                  </w:r>
                </w:p>
              </w:tc>
              <w:tc>
                <w:tcPr>
                  <w:tcW w:w="2554"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b/>
                      <w:bCs/>
                      <w:sz w:val="21"/>
                      <w:szCs w:val="21"/>
                      <w:u w:val="single"/>
                    </w:rPr>
                    <w:t>废气设置集气罩（2个）收集后引致脉冲式袋式除尘器（1套，含24个布袋，过滤面积19.2m</w:t>
                  </w:r>
                  <w:r>
                    <w:rPr>
                      <w:rFonts w:hint="eastAsia" w:ascii="Times New Roman" w:hAnsi="Times New Roman" w:eastAsia="宋体" w:cs="Times New Roman"/>
                      <w:b/>
                      <w:bCs/>
                      <w:sz w:val="21"/>
                      <w:szCs w:val="21"/>
                      <w:u w:val="single"/>
                      <w:vertAlign w:val="superscript"/>
                    </w:rPr>
                    <w:t>2</w:t>
                  </w:r>
                  <w:r>
                    <w:rPr>
                      <w:rFonts w:hint="eastAsia" w:ascii="Times New Roman" w:hAnsi="Times New Roman" w:eastAsia="宋体" w:cs="Times New Roman"/>
                      <w:b/>
                      <w:bCs/>
                      <w:sz w:val="21"/>
                      <w:szCs w:val="21"/>
                      <w:u w:val="single"/>
                    </w:rPr>
                    <w:t>，材质：涤纶针刺过滤毡）治理，尾气通过1根15m高排气筒排放</w:t>
                  </w:r>
                </w:p>
              </w:tc>
              <w:tc>
                <w:tcPr>
                  <w:tcW w:w="267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满足《大气污染物综合排放标准》（GB16297-1996）表2二级要求</w:t>
                  </w:r>
                </w:p>
                <w:p>
                  <w:pPr>
                    <w:pStyle w:val="75"/>
                    <w:snapToGrid w:val="0"/>
                    <w:jc w:val="center"/>
                    <w:rPr>
                      <w:rFonts w:ascii="Times New Roman" w:hAnsi="Times New Roman" w:cs="Times New Roman"/>
                      <w:sz w:val="21"/>
                      <w:szCs w:val="21"/>
                    </w:rPr>
                  </w:pPr>
                  <w:r>
                    <w:rPr>
                      <w:rFonts w:hint="eastAsia" w:ascii="Times New Roman" w:hAnsi="Times New Roman" w:eastAsia="宋体" w:cs="Times New Roman"/>
                      <w:sz w:val="21"/>
                      <w:szCs w:val="21"/>
                    </w:rPr>
                    <w:t xml:space="preserve">有组织排放浓度120 </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hint="eastAsia" w:ascii="Times New Roman" w:hAnsi="Times New Roman" w:eastAsia="宋体" w:cs="Times New Roman"/>
                      <w:sz w:val="21"/>
                      <w:szCs w:val="21"/>
                    </w:rPr>
                    <w:t xml:space="preserve">，3.5 </w:t>
                  </w:r>
                  <w:r>
                    <w:rPr>
                      <w:rFonts w:ascii="Times New Roman" w:hAnsi="Times New Roman" w:cs="Times New Roman"/>
                      <w:sz w:val="21"/>
                      <w:szCs w:val="21"/>
                    </w:rPr>
                    <w:t>kg/h</w:t>
                  </w:r>
                </w:p>
                <w:p>
                  <w:pPr>
                    <w:pStyle w:val="75"/>
                    <w:snapToGrid w:val="0"/>
                    <w:jc w:val="center"/>
                    <w:rPr>
                      <w:rFonts w:ascii="Times New Roman" w:hAnsi="Times New Roman" w:eastAsia="宋体" w:cs="Times New Roman"/>
                      <w:sz w:val="21"/>
                      <w:szCs w:val="21"/>
                      <w:u w:val="single"/>
                    </w:rPr>
                  </w:pPr>
                  <w:r>
                    <w:rPr>
                      <w:rFonts w:hint="eastAsia" w:ascii="Times New Roman" w:hAnsi="Times New Roman" w:eastAsia="宋体" w:cs="Times New Roman"/>
                      <w:sz w:val="21"/>
                      <w:szCs w:val="21"/>
                    </w:rPr>
                    <w:t>无组织排放浓度 1.0</w:t>
                  </w:r>
                  <w:r>
                    <w:rPr>
                      <w:rFonts w:ascii="Times New Roman" w:hAnsi="Times New Roman" w:cs="Times New Roman"/>
                      <w:sz w:val="21"/>
                      <w:szCs w:val="21"/>
                    </w:rPr>
                    <w:t>mg/m</w:t>
                  </w:r>
                  <w:r>
                    <w:rPr>
                      <w:rFonts w:ascii="Times New Roman" w:hAnsi="Times New Roman" w:cs="Times New Roman"/>
                      <w:sz w:val="21"/>
                      <w:szCs w:val="21"/>
                      <w:vertAlign w:val="superscript"/>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2" w:hRule="atLeast"/>
                <w:jc w:val="center"/>
              </w:trPr>
              <w:tc>
                <w:tcPr>
                  <w:tcW w:w="665"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废水</w:t>
                  </w:r>
                </w:p>
              </w:tc>
              <w:tc>
                <w:tcPr>
                  <w:tcW w:w="1401"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员工生活</w:t>
                  </w:r>
                </w:p>
              </w:tc>
              <w:tc>
                <w:tcPr>
                  <w:tcW w:w="128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生活污水</w:t>
                  </w:r>
                </w:p>
              </w:tc>
              <w:tc>
                <w:tcPr>
                  <w:tcW w:w="2554"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ascii="Times New Roman" w:hAnsi="Times New Roman" w:eastAsia="宋体" w:cs="Times New Roman"/>
                      <w:sz w:val="21"/>
                      <w:szCs w:val="21"/>
                    </w:rPr>
                    <w:t>化粪池1座</w:t>
                  </w:r>
                </w:p>
              </w:tc>
              <w:tc>
                <w:tcPr>
                  <w:tcW w:w="267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满足小店污水处理厂</w:t>
                  </w:r>
                  <w:r>
                    <w:rPr>
                      <w:rFonts w:hint="eastAsia" w:ascii="Times New Roman" w:hAnsi="Times New Roman" w:eastAsia="宋体" w:cs="Times New Roman"/>
                      <w:bCs/>
                      <w:sz w:val="21"/>
                      <w:szCs w:val="21"/>
                    </w:rPr>
                    <w:t>二期</w:t>
                  </w:r>
                  <w:r>
                    <w:rPr>
                      <w:rFonts w:hint="eastAsia" w:ascii="Times New Roman" w:hAnsi="Times New Roman" w:eastAsia="宋体" w:cs="Times New Roman"/>
                      <w:sz w:val="21"/>
                      <w:szCs w:val="21"/>
                    </w:rPr>
                    <w:t>收水水质标准</w:t>
                  </w:r>
                </w:p>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COD 350 mg/L、</w:t>
                  </w:r>
                </w:p>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SS 280 mg/L</w:t>
                  </w:r>
                </w:p>
                <w:p>
                  <w:pPr>
                    <w:pStyle w:val="75"/>
                    <w:snapToGrid w:val="0"/>
                    <w:rPr>
                      <w:rFonts w:ascii="Times New Roman" w:hAnsi="Times New Roman" w:eastAsia="宋体" w:cs="Times New Roman"/>
                      <w:sz w:val="21"/>
                      <w:szCs w:val="21"/>
                    </w:rPr>
                  </w:pPr>
                  <w:r>
                    <w:rPr>
                      <w:rFonts w:hint="eastAsia" w:ascii="Times New Roman" w:hAnsi="Times New Roman" w:eastAsia="宋体" w:cs="Times New Roman"/>
                      <w:sz w:val="21"/>
                      <w:szCs w:val="21"/>
                    </w:rPr>
                    <w:t>氨氮 30 mg/L、TP 2 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3" w:hRule="atLeast"/>
                <w:jc w:val="center"/>
              </w:trPr>
              <w:tc>
                <w:tcPr>
                  <w:tcW w:w="665"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噪声</w:t>
                  </w:r>
                </w:p>
              </w:tc>
              <w:tc>
                <w:tcPr>
                  <w:tcW w:w="1401"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切割锯、离子切割机、剪板机、折弯机及空压机、风机等</w:t>
                  </w:r>
                </w:p>
              </w:tc>
              <w:tc>
                <w:tcPr>
                  <w:tcW w:w="128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噪声</w:t>
                  </w:r>
                </w:p>
              </w:tc>
              <w:tc>
                <w:tcPr>
                  <w:tcW w:w="2554"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ascii="Times New Roman" w:hAnsi="Times New Roman" w:cs="Times New Roman"/>
                      <w:kern w:val="0"/>
                      <w:sz w:val="21"/>
                      <w:szCs w:val="21"/>
                    </w:rPr>
                    <w:t>室内布置，基础减振、厂房密闭隔音</w:t>
                  </w:r>
                  <w:r>
                    <w:rPr>
                      <w:rFonts w:hint="eastAsia" w:ascii="Times New Roman" w:hAnsi="Times New Roman" w:eastAsia="宋体" w:cs="Times New Roman"/>
                      <w:kern w:val="0"/>
                      <w:sz w:val="21"/>
                      <w:szCs w:val="21"/>
                    </w:rPr>
                    <w:t>等</w:t>
                  </w:r>
                </w:p>
              </w:tc>
              <w:tc>
                <w:tcPr>
                  <w:tcW w:w="267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满足《工业企业厂界环境噪声排放标准》</w:t>
                  </w:r>
                </w:p>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 xml:space="preserve">（GB12348-2008）3类，昼间 65 </w:t>
                  </w:r>
                  <w:r>
                    <w:rPr>
                      <w:rFonts w:ascii="Times New Roman" w:hAnsi="Times New Roman" w:cs="Times New Roman"/>
                      <w:sz w:val="21"/>
                      <w:szCs w:val="21"/>
                    </w:rPr>
                    <w:t>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665" w:type="dxa"/>
                  <w:vMerge w:val="restart"/>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固废</w:t>
                  </w:r>
                </w:p>
              </w:tc>
              <w:tc>
                <w:tcPr>
                  <w:tcW w:w="1401" w:type="dxa"/>
                  <w:vMerge w:val="restart"/>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下料、焊接、打磨等机加工工序</w:t>
                  </w:r>
                </w:p>
              </w:tc>
              <w:tc>
                <w:tcPr>
                  <w:tcW w:w="128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宋体" w:hAnsi="宋体" w:eastAsia="宋体" w:cs="宋体"/>
                      <w:sz w:val="21"/>
                      <w:szCs w:val="21"/>
                    </w:rPr>
                    <w:t>金属碎屑</w:t>
                  </w:r>
                  <w:r>
                    <w:rPr>
                      <w:rFonts w:hint="eastAsia" w:ascii="宋体" w:hAnsi="宋体" w:eastAsia="宋体" w:cs="宋体"/>
                      <w:b/>
                      <w:bCs/>
                      <w:sz w:val="21"/>
                      <w:szCs w:val="21"/>
                    </w:rPr>
                    <w:t>（</w:t>
                  </w:r>
                  <w:r>
                    <w:rPr>
                      <w:rFonts w:hint="eastAsia" w:ascii="宋体" w:hAnsi="宋体" w:eastAsia="宋体" w:cs="宋体"/>
                      <w:sz w:val="21"/>
                      <w:szCs w:val="21"/>
                    </w:rPr>
                    <w:t>桌面、地面散落粉尘）</w:t>
                  </w:r>
                </w:p>
              </w:tc>
              <w:tc>
                <w:tcPr>
                  <w:tcW w:w="2554" w:type="dxa"/>
                  <w:tcBorders>
                    <w:tl2br w:val="nil"/>
                    <w:tr2bl w:val="nil"/>
                  </w:tcBorders>
                  <w:tcMar>
                    <w:top w:w="85" w:type="dxa"/>
                    <w:bottom w:w="85" w:type="dxa"/>
                  </w:tcMar>
                  <w:vAlign w:val="center"/>
                </w:tcPr>
                <w:p>
                  <w:pPr>
                    <w:pStyle w:val="75"/>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工业级吸尘器1个进行定期清理</w:t>
                  </w:r>
                  <w:r>
                    <w:rPr>
                      <w:rStyle w:val="33"/>
                      <w:rFonts w:hint="eastAsia" w:eastAsia="宋体"/>
                      <w:b w:val="0"/>
                      <w:lang w:eastAsia="zh-CN"/>
                    </w:rPr>
                    <w:t>，</w:t>
                  </w:r>
                  <w:r>
                    <w:rPr>
                      <w:rStyle w:val="33"/>
                      <w:rFonts w:hint="eastAsia" w:eastAsia="宋体"/>
                      <w:b w:val="0"/>
                      <w:lang w:val="en-US" w:eastAsia="zh-CN"/>
                    </w:rPr>
                    <w:t>清理后放置固废暂存间</w:t>
                  </w:r>
                </w:p>
              </w:tc>
              <w:tc>
                <w:tcPr>
                  <w:tcW w:w="2678" w:type="dxa"/>
                  <w:vMerge w:val="restart"/>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满足《一般工业固体废物贮存、处置场污染控制标准》（GB18599-2001）（2013修订）要求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37" w:hRule="atLeast"/>
                <w:jc w:val="center"/>
              </w:trPr>
              <w:tc>
                <w:tcPr>
                  <w:tcW w:w="665"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c>
                <w:tcPr>
                  <w:tcW w:w="1401"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c>
                <w:tcPr>
                  <w:tcW w:w="128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废边角料</w:t>
                  </w:r>
                </w:p>
              </w:tc>
              <w:tc>
                <w:tcPr>
                  <w:tcW w:w="2554" w:type="dxa"/>
                  <w:vMerge w:val="restart"/>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一般固废暂存间1处（10</w:t>
                  </w:r>
                  <w:r>
                    <w:rPr>
                      <w:rFonts w:ascii="Times New Roman" w:hAnsi="Times New Roman" w:cs="Times New Roman"/>
                      <w:sz w:val="24"/>
                    </w:rPr>
                    <w:t>m</w:t>
                  </w:r>
                  <w:r>
                    <w:rPr>
                      <w:rFonts w:ascii="Times New Roman" w:hAnsi="Times New Roman" w:cs="Times New Roman"/>
                      <w:sz w:val="24"/>
                      <w:vertAlign w:val="superscript"/>
                    </w:rPr>
                    <w:t>2</w:t>
                  </w:r>
                  <w:r>
                    <w:rPr>
                      <w:rFonts w:hint="eastAsia" w:ascii="Times New Roman" w:hAnsi="Times New Roman" w:eastAsia="宋体" w:cs="Times New Roman"/>
                      <w:sz w:val="21"/>
                      <w:szCs w:val="21"/>
                    </w:rPr>
                    <w:t>）</w:t>
                  </w:r>
                </w:p>
              </w:tc>
              <w:tc>
                <w:tcPr>
                  <w:tcW w:w="2678"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665"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c>
                <w:tcPr>
                  <w:tcW w:w="1401"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c>
                <w:tcPr>
                  <w:tcW w:w="128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宋体" w:hAnsi="宋体" w:eastAsia="宋体" w:cs="宋体"/>
                      <w:sz w:val="21"/>
                      <w:szCs w:val="21"/>
                    </w:rPr>
                    <w:t>废包装物</w:t>
                  </w:r>
                </w:p>
              </w:tc>
              <w:tc>
                <w:tcPr>
                  <w:tcW w:w="2554"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c>
                <w:tcPr>
                  <w:tcW w:w="2678"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665"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c>
                <w:tcPr>
                  <w:tcW w:w="1401"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c>
                <w:tcPr>
                  <w:tcW w:w="128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ascii="Times New Roman" w:hAnsi="Times New Roman" w:cs="Times New Roman"/>
                      <w:kern w:val="0"/>
                      <w:sz w:val="21"/>
                      <w:szCs w:val="21"/>
                    </w:rPr>
                    <w:t>除尘器</w:t>
                  </w:r>
                  <w:r>
                    <w:rPr>
                      <w:rFonts w:hint="eastAsia" w:ascii="宋体" w:hAnsi="宋体" w:eastAsia="宋体" w:cs="宋体"/>
                      <w:sz w:val="21"/>
                      <w:szCs w:val="21"/>
                    </w:rPr>
                    <w:t>收集粉尘</w:t>
                  </w:r>
                </w:p>
              </w:tc>
              <w:tc>
                <w:tcPr>
                  <w:tcW w:w="2554"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c>
                <w:tcPr>
                  <w:tcW w:w="2678"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3" w:hRule="atLeast"/>
                <w:jc w:val="center"/>
              </w:trPr>
              <w:tc>
                <w:tcPr>
                  <w:tcW w:w="665" w:type="dxa"/>
                  <w:vMerge w:val="continue"/>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p>
              </w:tc>
              <w:tc>
                <w:tcPr>
                  <w:tcW w:w="1401"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机械设备运转</w:t>
                  </w:r>
                </w:p>
              </w:tc>
              <w:tc>
                <w:tcPr>
                  <w:tcW w:w="128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废液压油、废润滑油、废油桶</w:t>
                  </w:r>
                </w:p>
              </w:tc>
              <w:tc>
                <w:tcPr>
                  <w:tcW w:w="2554"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危险固废暂存间1处（4</w:t>
                  </w:r>
                  <w:r>
                    <w:rPr>
                      <w:rFonts w:ascii="Times New Roman" w:hAnsi="Times New Roman" w:cs="Times New Roman"/>
                      <w:sz w:val="24"/>
                    </w:rPr>
                    <w:t>m</w:t>
                  </w:r>
                  <w:r>
                    <w:rPr>
                      <w:rFonts w:ascii="Times New Roman" w:hAnsi="Times New Roman" w:cs="Times New Roman"/>
                      <w:sz w:val="24"/>
                      <w:vertAlign w:val="superscript"/>
                    </w:rPr>
                    <w:t>2</w:t>
                  </w:r>
                  <w:r>
                    <w:rPr>
                      <w:rFonts w:hint="eastAsia" w:ascii="Times New Roman" w:hAnsi="Times New Roman" w:eastAsia="宋体" w:cs="Times New Roman"/>
                      <w:sz w:val="21"/>
                      <w:szCs w:val="21"/>
                    </w:rPr>
                    <w:t>）</w:t>
                  </w:r>
                </w:p>
              </w:tc>
              <w:tc>
                <w:tcPr>
                  <w:tcW w:w="267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满足《危险废物贮存污染控制标准》（GB18597-2001）（2013修订）要求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3" w:hRule="atLeast"/>
                <w:jc w:val="center"/>
              </w:trPr>
              <w:tc>
                <w:tcPr>
                  <w:tcW w:w="665"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环境管理</w:t>
                  </w:r>
                </w:p>
              </w:tc>
              <w:tc>
                <w:tcPr>
                  <w:tcW w:w="5243" w:type="dxa"/>
                  <w:gridSpan w:val="3"/>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总用电控制位置、主要生产设施和除尘器处安装用电量监控系统终端1套</w:t>
                  </w:r>
                </w:p>
              </w:tc>
              <w:tc>
                <w:tcPr>
                  <w:tcW w:w="2678" w:type="dxa"/>
                  <w:tcBorders>
                    <w:tl2br w:val="nil"/>
                    <w:tr2bl w:val="nil"/>
                  </w:tcBorders>
                  <w:tcMar>
                    <w:top w:w="85" w:type="dxa"/>
                    <w:bottom w:w="85" w:type="dxa"/>
                  </w:tcMar>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满足《新乡市生态环境局关于部署按照工业企业用电量监控系统的通知》（新环[2019]154号）要求</w:t>
                  </w:r>
                </w:p>
              </w:tc>
            </w:tr>
          </w:tbl>
          <w:p>
            <w:pPr>
              <w:spacing w:before="190" w:beforeLines="50" w:line="360" w:lineRule="auto"/>
              <w:rPr>
                <w:rFonts w:ascii="Times New Roman" w:hAnsi="Times New Roman" w:cs="Times New Roman"/>
                <w:sz w:val="24"/>
              </w:rPr>
            </w:pPr>
          </w:p>
        </w:tc>
      </w:tr>
    </w:tbl>
    <w:p>
      <w:pPr>
        <w:spacing w:line="360" w:lineRule="auto"/>
        <w:jc w:val="left"/>
        <w:outlineLvl w:val="0"/>
        <w:rPr>
          <w:rStyle w:val="103"/>
        </w:rPr>
      </w:pPr>
      <w:r>
        <w:rPr>
          <w:rFonts w:ascii="Times New Roman" w:hAnsi="Times New Roman" w:cs="Times New Roman"/>
          <w:b/>
          <w:sz w:val="30"/>
        </w:rPr>
        <w:br w:type="page"/>
      </w:r>
      <w:r>
        <w:rPr>
          <w:rStyle w:val="103"/>
        </w:rPr>
        <w:t>建设项目拟采取的防治措施及预期治理效果</w:t>
      </w:r>
    </w:p>
    <w:tbl>
      <w:tblPr>
        <w:tblStyle w:val="28"/>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564"/>
        <w:gridCol w:w="1560"/>
        <w:gridCol w:w="2584"/>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1" w:hRule="atLeast"/>
        </w:trPr>
        <w:tc>
          <w:tcPr>
            <w:tcW w:w="952" w:type="dxa"/>
            <w:vAlign w:val="center"/>
          </w:tcPr>
          <w:p>
            <w:pPr>
              <w:spacing w:line="360" w:lineRule="auto"/>
              <w:jc w:val="right"/>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656192" behindDoc="0" locked="0" layoutInCell="1" allowOverlap="1">
                      <wp:simplePos x="0" y="0"/>
                      <wp:positionH relativeFrom="column">
                        <wp:posOffset>-52070</wp:posOffset>
                      </wp:positionH>
                      <wp:positionV relativeFrom="paragraph">
                        <wp:posOffset>-8890</wp:posOffset>
                      </wp:positionV>
                      <wp:extent cx="589915" cy="502920"/>
                      <wp:effectExtent l="3175" t="3810" r="16510" b="7620"/>
                      <wp:wrapNone/>
                      <wp:docPr id="2" name="直线 1756"/>
                      <wp:cNvGraphicFramePr/>
                      <a:graphic xmlns:a="http://schemas.openxmlformats.org/drawingml/2006/main">
                        <a:graphicData uri="http://schemas.microsoft.com/office/word/2010/wordprocessingShape">
                          <wps:wsp>
                            <wps:cNvCnPr/>
                            <wps:spPr>
                              <a:xfrm>
                                <a:off x="0" y="0"/>
                                <a:ext cx="589915" cy="50292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756" o:spid="_x0000_s1026" o:spt="20" style="position:absolute;left:0pt;margin-left:-4.1pt;margin-top:-0.7pt;height:39.6pt;width:46.45pt;z-index:251656192;mso-width-relative:page;mso-height-relative:page;" filled="f" stroked="t" coordsize="21600,21600" o:gfxdata="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lWZ1TWAAAABwEAAA8AAAAAAAAAAQAgAAAAIgAAAGRycy9k&#10;b3ducmV2LnhtbFBLAQIUABQAAAAIAIdO4kBlmTMRywEAAIgDAAAOAAAAAAAAAAEAIAAAACUBAABk&#10;cnMvZTJvRG9jLnhtbFBLBQYAAAAABgAGAFkBAABiBQAAAAA=&#10;">
                      <v:fill on="f" focussize="0,0"/>
                      <v:stroke color="#000000" joinstyle="round"/>
                      <v:imagedata o:title=""/>
                      <o:lock v:ext="edit" aspectratio="f"/>
                    </v:line>
                  </w:pict>
                </mc:Fallback>
              </mc:AlternateContent>
            </w:r>
            <w:r>
              <w:rPr>
                <w:rFonts w:ascii="Times New Roman" w:hAnsi="Times New Roman" w:cs="Times New Roman"/>
                <w:b/>
                <w:sz w:val="24"/>
                <w:szCs w:val="24"/>
              </w:rPr>
              <w:t>内容</w:t>
            </w:r>
          </w:p>
          <w:p>
            <w:pPr>
              <w:rPr>
                <w:rFonts w:ascii="Times New Roman" w:hAnsi="Times New Roman" w:cs="Times New Roman"/>
                <w:b/>
                <w:sz w:val="24"/>
                <w:szCs w:val="24"/>
              </w:rPr>
            </w:pPr>
            <w:r>
              <w:rPr>
                <w:rFonts w:ascii="Times New Roman" w:hAnsi="Times New Roman" w:cs="Times New Roman"/>
                <w:b/>
                <w:sz w:val="24"/>
                <w:szCs w:val="24"/>
              </w:rPr>
              <w:t>类别</w:t>
            </w:r>
          </w:p>
        </w:tc>
        <w:tc>
          <w:tcPr>
            <w:tcW w:w="1564"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排放源</w:t>
            </w:r>
          </w:p>
          <w:p>
            <w:pPr>
              <w:jc w:val="center"/>
              <w:rPr>
                <w:rFonts w:ascii="Times New Roman" w:hAnsi="Times New Roman" w:cs="Times New Roman"/>
                <w:b/>
                <w:sz w:val="24"/>
                <w:szCs w:val="24"/>
              </w:rPr>
            </w:pPr>
            <w:r>
              <w:rPr>
                <w:rFonts w:ascii="Times New Roman" w:hAnsi="Times New Roman" w:cs="Times New Roman"/>
                <w:b/>
                <w:sz w:val="24"/>
                <w:szCs w:val="24"/>
              </w:rPr>
              <w:t>（编号）</w:t>
            </w:r>
          </w:p>
        </w:tc>
        <w:tc>
          <w:tcPr>
            <w:tcW w:w="1560"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污染物名称</w:t>
            </w:r>
          </w:p>
        </w:tc>
        <w:tc>
          <w:tcPr>
            <w:tcW w:w="2584"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防治措施</w:t>
            </w:r>
          </w:p>
        </w:tc>
        <w:tc>
          <w:tcPr>
            <w:tcW w:w="2237"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952"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废气</w:t>
            </w:r>
          </w:p>
        </w:tc>
        <w:tc>
          <w:tcPr>
            <w:tcW w:w="1564" w:type="dxa"/>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下料、焊接、打磨、机加工</w:t>
            </w:r>
          </w:p>
        </w:tc>
        <w:tc>
          <w:tcPr>
            <w:tcW w:w="1560" w:type="dxa"/>
            <w:vAlign w:val="center"/>
          </w:tcPr>
          <w:p>
            <w:pPr>
              <w:pStyle w:val="75"/>
              <w:snapToGrid w:val="0"/>
              <w:jc w:val="center"/>
              <w:rPr>
                <w:rFonts w:ascii="Times New Roman" w:hAnsi="Times New Roman" w:cs="Times New Roman"/>
                <w:spacing w:val="-8"/>
                <w:sz w:val="21"/>
                <w:szCs w:val="21"/>
              </w:rPr>
            </w:pPr>
            <w:r>
              <w:rPr>
                <w:rFonts w:hint="eastAsia" w:ascii="Times New Roman" w:hAnsi="Times New Roman" w:eastAsia="宋体" w:cs="Times New Roman"/>
                <w:sz w:val="21"/>
                <w:szCs w:val="21"/>
              </w:rPr>
              <w:t>颗粒物</w:t>
            </w:r>
          </w:p>
        </w:tc>
        <w:tc>
          <w:tcPr>
            <w:tcW w:w="2584" w:type="dxa"/>
            <w:vAlign w:val="center"/>
          </w:tcPr>
          <w:p>
            <w:pPr>
              <w:pStyle w:val="75"/>
              <w:snapToGrid w:val="0"/>
              <w:jc w:val="center"/>
              <w:rPr>
                <w:rFonts w:ascii="Times New Roman" w:hAnsi="Times New Roman" w:cs="Times New Roman"/>
                <w:sz w:val="21"/>
                <w:szCs w:val="21"/>
              </w:rPr>
            </w:pPr>
            <w:r>
              <w:rPr>
                <w:rFonts w:hint="eastAsia" w:ascii="Times New Roman" w:hAnsi="Times New Roman" w:eastAsia="宋体" w:cs="Times New Roman"/>
                <w:b/>
                <w:bCs/>
                <w:sz w:val="21"/>
                <w:szCs w:val="21"/>
                <w:u w:val="single"/>
              </w:rPr>
              <w:t>废气设置集气罩（2个）收集后引致脉冲式袋式除尘器（1套、含24个布袋，过滤面积19.2m</w:t>
            </w:r>
            <w:r>
              <w:rPr>
                <w:rFonts w:hint="eastAsia" w:ascii="Times New Roman" w:hAnsi="Times New Roman" w:eastAsia="宋体" w:cs="Times New Roman"/>
                <w:b/>
                <w:bCs/>
                <w:sz w:val="21"/>
                <w:szCs w:val="21"/>
                <w:u w:val="single"/>
                <w:vertAlign w:val="superscript"/>
              </w:rPr>
              <w:t>2</w:t>
            </w:r>
            <w:r>
              <w:rPr>
                <w:rFonts w:hint="eastAsia" w:ascii="Times New Roman" w:hAnsi="Times New Roman" w:eastAsia="宋体" w:cs="Times New Roman"/>
                <w:b/>
                <w:bCs/>
                <w:sz w:val="21"/>
                <w:szCs w:val="21"/>
                <w:u w:val="single"/>
              </w:rPr>
              <w:t>，材质：涤纶针刺过滤毡）治理，尾气通过1根15m高排气筒排放</w:t>
            </w:r>
          </w:p>
        </w:tc>
        <w:tc>
          <w:tcPr>
            <w:tcW w:w="2237" w:type="dxa"/>
            <w:vAlign w:val="center"/>
          </w:tcPr>
          <w:p>
            <w:pPr>
              <w:pStyle w:val="75"/>
              <w:snapToGrid w:val="0"/>
              <w:jc w:val="center"/>
              <w:rPr>
                <w:rFonts w:ascii="Times New Roman" w:hAnsi="Times New Roman" w:cs="Times New Roman"/>
                <w:sz w:val="21"/>
                <w:szCs w:val="21"/>
              </w:rPr>
            </w:pPr>
            <w:r>
              <w:rPr>
                <w:rFonts w:hint="eastAsia" w:ascii="Times New Roman" w:hAnsi="Times New Roman" w:cs="Times New Roman"/>
                <w:sz w:val="21"/>
                <w:szCs w:val="21"/>
              </w:rPr>
              <w:t>满足</w:t>
            </w:r>
            <w:r>
              <w:rPr>
                <w:rFonts w:ascii="Times New Roman" w:hAnsi="Times New Roman" w:cs="Times New Roman"/>
                <w:sz w:val="21"/>
                <w:szCs w:val="21"/>
              </w:rPr>
              <w:t>《大气污染物综合排放标准》（GB16297-1996）表2</w:t>
            </w:r>
            <w:r>
              <w:rPr>
                <w:rFonts w:ascii="Times New Roman" w:hAnsi="Times New Roman" w:cs="Times New Roman" w:eastAsiaTheme="minorEastAsia"/>
                <w:sz w:val="21"/>
                <w:szCs w:val="21"/>
              </w:rPr>
              <w:t>二级</w:t>
            </w:r>
            <w:r>
              <w:rPr>
                <w:rFonts w:hint="eastAsia" w:ascii="Times New Roman" w:hAnsi="Times New Roman" w:cs="Times New Roman" w:eastAsiaTheme="minorEastAsia"/>
                <w:sz w:val="21"/>
                <w:szCs w:val="21"/>
              </w:rPr>
              <w:t>要求</w:t>
            </w:r>
            <w:r>
              <w:rPr>
                <w:rFonts w:hint="eastAsia" w:ascii="Times New Roman" w:hAnsi="Times New Roman" w:eastAsia="宋体" w:cs="Times New Roman"/>
                <w:sz w:val="21"/>
                <w:szCs w:val="21"/>
              </w:rPr>
              <w:t xml:space="preserve">有组织排放浓度120 </w:t>
            </w:r>
            <w:r>
              <w:rPr>
                <w:rFonts w:ascii="Times New Roman" w:hAnsi="Times New Roman" w:cs="Times New Roman"/>
                <w:sz w:val="21"/>
                <w:szCs w:val="21"/>
              </w:rPr>
              <w:t>mg/m</w:t>
            </w:r>
            <w:r>
              <w:rPr>
                <w:rFonts w:ascii="Times New Roman" w:hAnsi="Times New Roman" w:cs="Times New Roman"/>
                <w:sz w:val="21"/>
                <w:szCs w:val="21"/>
                <w:vertAlign w:val="superscript"/>
              </w:rPr>
              <w:t>3</w:t>
            </w:r>
            <w:r>
              <w:rPr>
                <w:rFonts w:hint="eastAsia" w:ascii="Times New Roman" w:hAnsi="Times New Roman" w:eastAsia="宋体" w:cs="Times New Roman"/>
                <w:sz w:val="21"/>
                <w:szCs w:val="21"/>
              </w:rPr>
              <w:t xml:space="preserve">，3.5 </w:t>
            </w:r>
            <w:r>
              <w:rPr>
                <w:rFonts w:ascii="Times New Roman" w:hAnsi="Times New Roman" w:cs="Times New Roman"/>
                <w:sz w:val="21"/>
                <w:szCs w:val="21"/>
              </w:rPr>
              <w:t>kg/h</w:t>
            </w:r>
          </w:p>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无组织排放浓度 1.0</w:t>
            </w:r>
            <w:r>
              <w:rPr>
                <w:rFonts w:ascii="Times New Roman" w:hAnsi="Times New Roman" w:cs="Times New Roman"/>
                <w:sz w:val="21"/>
                <w:szCs w:val="21"/>
              </w:rPr>
              <w:t>mg/m</w:t>
            </w:r>
            <w:r>
              <w:rPr>
                <w:rFonts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trPr>
        <w:tc>
          <w:tcPr>
            <w:tcW w:w="952"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废水</w:t>
            </w:r>
          </w:p>
        </w:tc>
        <w:tc>
          <w:tcPr>
            <w:tcW w:w="1564" w:type="dxa"/>
            <w:vAlign w:val="center"/>
          </w:tcPr>
          <w:p>
            <w:pPr>
              <w:jc w:val="center"/>
              <w:rPr>
                <w:rFonts w:ascii="Times New Roman" w:hAnsi="Times New Roman" w:cs="Times New Roman"/>
                <w:sz w:val="21"/>
                <w:szCs w:val="21"/>
              </w:rPr>
            </w:pPr>
            <w:r>
              <w:rPr>
                <w:rFonts w:ascii="Times New Roman" w:hAnsi="Times New Roman" w:cs="Times New Roman"/>
                <w:sz w:val="21"/>
                <w:szCs w:val="21"/>
              </w:rPr>
              <w:t>生活污水</w:t>
            </w:r>
          </w:p>
        </w:tc>
        <w:tc>
          <w:tcPr>
            <w:tcW w:w="1560" w:type="dxa"/>
            <w:vAlign w:val="center"/>
          </w:tcPr>
          <w:p>
            <w:pPr>
              <w:jc w:val="center"/>
              <w:rPr>
                <w:rFonts w:ascii="Times New Roman" w:hAnsi="Times New Roman" w:cs="Times New Roman"/>
                <w:sz w:val="21"/>
                <w:szCs w:val="21"/>
              </w:rPr>
            </w:pPr>
            <w:r>
              <w:rPr>
                <w:rFonts w:ascii="Times New Roman" w:hAnsi="Times New Roman" w:cs="Times New Roman"/>
                <w:bCs/>
                <w:sz w:val="21"/>
                <w:szCs w:val="21"/>
              </w:rPr>
              <w:t>COD、SS、</w:t>
            </w:r>
            <w:r>
              <w:rPr>
                <w:rFonts w:hint="eastAsia" w:ascii="Times New Roman" w:hAnsi="Times New Roman" w:cs="Times New Roman"/>
                <w:bCs/>
                <w:sz w:val="21"/>
                <w:szCs w:val="21"/>
              </w:rPr>
              <w:t>氨氮、TP</w:t>
            </w:r>
          </w:p>
        </w:tc>
        <w:tc>
          <w:tcPr>
            <w:tcW w:w="2584"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经化粪池处理后排至污水管网并进入</w:t>
            </w:r>
            <w:r>
              <w:rPr>
                <w:rFonts w:ascii="Times New Roman" w:hAnsi="Times New Roman" w:cs="Times New Roman"/>
                <w:sz w:val="21"/>
                <w:szCs w:val="21"/>
              </w:rPr>
              <w:t>小店污水处理厂</w:t>
            </w:r>
            <w:r>
              <w:rPr>
                <w:rFonts w:hint="eastAsia" w:ascii="Times New Roman" w:hAnsi="Times New Roman" w:cs="Times New Roman"/>
                <w:sz w:val="21"/>
                <w:szCs w:val="21"/>
              </w:rPr>
              <w:t>二期进一步处理</w:t>
            </w:r>
          </w:p>
        </w:tc>
        <w:tc>
          <w:tcPr>
            <w:tcW w:w="2237" w:type="dxa"/>
            <w:vAlign w:val="center"/>
          </w:tcPr>
          <w:p>
            <w:pPr>
              <w:pStyle w:val="75"/>
              <w:adjustRightInd w:val="0"/>
              <w:snapToGrid w:val="0"/>
              <w:jc w:val="center"/>
              <w:rPr>
                <w:rFonts w:ascii="Times New Roman" w:hAnsi="Times New Roman" w:eastAsia="宋体" w:cs="Times New Roman"/>
                <w:sz w:val="21"/>
                <w:szCs w:val="21"/>
              </w:rPr>
            </w:pPr>
            <w:r>
              <w:rPr>
                <w:rFonts w:hint="eastAsia" w:ascii="Times New Roman" w:hAnsi="Times New Roman" w:cs="Times New Roman"/>
                <w:sz w:val="21"/>
                <w:szCs w:val="21"/>
              </w:rPr>
              <w:t>满足小店</w:t>
            </w:r>
            <w:r>
              <w:rPr>
                <w:rFonts w:ascii="Times New Roman" w:hAnsi="Times New Roman" w:cs="Times New Roman"/>
                <w:sz w:val="21"/>
                <w:szCs w:val="21"/>
              </w:rPr>
              <w:t>污水处理厂</w:t>
            </w:r>
            <w:r>
              <w:rPr>
                <w:rFonts w:hint="eastAsia" w:ascii="Times New Roman" w:hAnsi="Times New Roman" w:cs="Times New Roman"/>
                <w:bCs/>
                <w:sz w:val="21"/>
                <w:szCs w:val="21"/>
              </w:rPr>
              <w:t>二期</w:t>
            </w:r>
            <w:r>
              <w:rPr>
                <w:rFonts w:ascii="Times New Roman" w:hAnsi="Times New Roman" w:cs="Times New Roman"/>
                <w:sz w:val="21"/>
                <w:szCs w:val="21"/>
              </w:rPr>
              <w:t>收水水质标准</w:t>
            </w:r>
            <w:r>
              <w:rPr>
                <w:rFonts w:hint="eastAsia" w:ascii="Times New Roman" w:hAnsi="Times New Roman" w:eastAsia="宋体" w:cs="Times New Roman"/>
                <w:sz w:val="21"/>
                <w:szCs w:val="21"/>
              </w:rPr>
              <w:t>COD 350 mg/L、</w:t>
            </w:r>
          </w:p>
          <w:p>
            <w:pPr>
              <w:pStyle w:val="75"/>
              <w:adjustRightInd w:val="0"/>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SS 280 mg/L</w:t>
            </w:r>
          </w:p>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氨氮 30 mg/L、</w:t>
            </w:r>
          </w:p>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TP 2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952" w:type="dxa"/>
            <w:vMerge w:val="restart"/>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固废</w:t>
            </w:r>
          </w:p>
        </w:tc>
        <w:tc>
          <w:tcPr>
            <w:tcW w:w="1564" w:type="dxa"/>
            <w:vMerge w:val="restart"/>
            <w:vAlign w:val="center"/>
          </w:tcPr>
          <w:p>
            <w:pPr>
              <w:pStyle w:val="87"/>
              <w:snapToGrid w:val="0"/>
              <w:jc w:val="center"/>
              <w:textAlignment w:val="auto"/>
              <w:rPr>
                <w:rFonts w:ascii="Times New Roman" w:hAnsi="Times New Roman"/>
                <w:szCs w:val="21"/>
              </w:rPr>
            </w:pPr>
            <w:r>
              <w:rPr>
                <w:rFonts w:hint="eastAsia" w:ascii="Times New Roman" w:hAnsi="Times New Roman"/>
                <w:szCs w:val="21"/>
              </w:rPr>
              <w:t>下料、焊接、打磨等机加工工序</w:t>
            </w:r>
          </w:p>
        </w:tc>
        <w:tc>
          <w:tcPr>
            <w:tcW w:w="1560" w:type="dxa"/>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金属碎屑</w:t>
            </w:r>
            <w:r>
              <w:rPr>
                <w:rFonts w:hint="eastAsia" w:ascii="宋体" w:hAnsi="宋体" w:cs="宋体"/>
                <w:sz w:val="21"/>
                <w:szCs w:val="21"/>
              </w:rPr>
              <w:t>（桌面、地面散落粉尘）</w:t>
            </w:r>
          </w:p>
        </w:tc>
        <w:tc>
          <w:tcPr>
            <w:tcW w:w="2584"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采用工业级吸尘器进行定期清理</w:t>
            </w:r>
          </w:p>
        </w:tc>
        <w:tc>
          <w:tcPr>
            <w:tcW w:w="2237" w:type="dxa"/>
            <w:vMerge w:val="restart"/>
            <w:vAlign w:val="center"/>
          </w:tcPr>
          <w:p>
            <w:pPr>
              <w:pStyle w:val="75"/>
              <w:snapToGrid w:val="0"/>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满足《一般工业固体废物贮存、处置场污染控制标准》（GB18599-2001）（2013修订）要求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952" w:type="dxa"/>
            <w:vMerge w:val="continue"/>
            <w:vAlign w:val="center"/>
          </w:tcPr>
          <w:p>
            <w:pPr>
              <w:jc w:val="center"/>
              <w:rPr>
                <w:rFonts w:ascii="Times New Roman" w:hAnsi="Times New Roman" w:cs="Times New Roman"/>
                <w:b/>
                <w:bCs/>
                <w:sz w:val="21"/>
                <w:szCs w:val="21"/>
              </w:rPr>
            </w:pPr>
          </w:p>
        </w:tc>
        <w:tc>
          <w:tcPr>
            <w:tcW w:w="1564" w:type="dxa"/>
            <w:vMerge w:val="continue"/>
            <w:vAlign w:val="center"/>
          </w:tcPr>
          <w:p>
            <w:pPr>
              <w:pStyle w:val="87"/>
              <w:snapToGrid w:val="0"/>
              <w:jc w:val="center"/>
              <w:textAlignment w:val="auto"/>
              <w:rPr>
                <w:rFonts w:ascii="Times New Roman" w:hAnsi="Times New Roman"/>
                <w:szCs w:val="21"/>
              </w:rPr>
            </w:pPr>
          </w:p>
        </w:tc>
        <w:tc>
          <w:tcPr>
            <w:tcW w:w="1560" w:type="dxa"/>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废边角料、废包装物、除尘收集粉尘</w:t>
            </w:r>
          </w:p>
        </w:tc>
        <w:tc>
          <w:tcPr>
            <w:tcW w:w="2584" w:type="dxa"/>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集中收集，在一般固废暂存间暂存后交由回收利用单位回收利用</w:t>
            </w:r>
          </w:p>
        </w:tc>
        <w:tc>
          <w:tcPr>
            <w:tcW w:w="2237" w:type="dxa"/>
            <w:vMerge w:val="continue"/>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952" w:type="dxa"/>
            <w:vMerge w:val="continue"/>
            <w:vAlign w:val="center"/>
          </w:tcPr>
          <w:p>
            <w:pPr>
              <w:jc w:val="center"/>
              <w:rPr>
                <w:rFonts w:ascii="Times New Roman" w:hAnsi="Times New Roman" w:cs="Times New Roman"/>
                <w:b/>
                <w:bCs/>
                <w:sz w:val="21"/>
                <w:szCs w:val="21"/>
              </w:rPr>
            </w:pPr>
          </w:p>
        </w:tc>
        <w:tc>
          <w:tcPr>
            <w:tcW w:w="1564" w:type="dxa"/>
            <w:vMerge w:val="restart"/>
            <w:vAlign w:val="center"/>
          </w:tcPr>
          <w:p>
            <w:pPr>
              <w:pStyle w:val="87"/>
              <w:snapToGrid w:val="0"/>
              <w:jc w:val="center"/>
              <w:rPr>
                <w:rFonts w:ascii="Times New Roman" w:hAnsi="Times New Roman"/>
                <w:spacing w:val="-2"/>
                <w:szCs w:val="21"/>
              </w:rPr>
            </w:pPr>
            <w:r>
              <w:rPr>
                <w:rFonts w:hint="eastAsia" w:ascii="Times New Roman" w:hAnsi="Times New Roman"/>
                <w:szCs w:val="21"/>
              </w:rPr>
              <w:t>机械设备运转</w:t>
            </w:r>
          </w:p>
        </w:tc>
        <w:tc>
          <w:tcPr>
            <w:tcW w:w="1560" w:type="dxa"/>
            <w:vAlign w:val="center"/>
          </w:tcPr>
          <w:p>
            <w:pPr>
              <w:adjustRightInd w:val="0"/>
              <w:snapToGrid w:val="0"/>
              <w:jc w:val="center"/>
              <w:rPr>
                <w:rFonts w:ascii="Times New Roman" w:hAnsi="Times New Roman" w:cs="Times New Roman"/>
                <w:bCs/>
                <w:sz w:val="21"/>
                <w:szCs w:val="21"/>
              </w:rPr>
            </w:pPr>
            <w:r>
              <w:rPr>
                <w:rFonts w:hint="eastAsia" w:ascii="Times New Roman" w:hAnsi="Times New Roman" w:cs="Times New Roman"/>
                <w:bCs/>
                <w:sz w:val="21"/>
                <w:szCs w:val="21"/>
              </w:rPr>
              <w:t>废液压油</w:t>
            </w:r>
          </w:p>
        </w:tc>
        <w:tc>
          <w:tcPr>
            <w:tcW w:w="2584" w:type="dxa"/>
            <w:vMerge w:val="restart"/>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集中收集，在危废暂存间暂存后交由有资质的危废处置单位处置</w:t>
            </w:r>
          </w:p>
        </w:tc>
        <w:tc>
          <w:tcPr>
            <w:tcW w:w="2237" w:type="dxa"/>
            <w:vMerge w:val="restart"/>
            <w:vAlign w:val="center"/>
          </w:tcPr>
          <w:p>
            <w:pPr>
              <w:jc w:val="center"/>
              <w:rPr>
                <w:rFonts w:ascii="Times New Roman" w:hAnsi="Times New Roman" w:cs="Times New Roman"/>
                <w:spacing w:val="-2"/>
                <w:sz w:val="21"/>
                <w:szCs w:val="21"/>
              </w:rPr>
            </w:pPr>
            <w:r>
              <w:rPr>
                <w:rFonts w:hint="eastAsia" w:ascii="Times New Roman" w:hAnsi="Times New Roman" w:cs="Times New Roman"/>
                <w:sz w:val="21"/>
                <w:szCs w:val="21"/>
              </w:rPr>
              <w:t>满足《危险废物贮存污染控制标准》（GB18597-2001）（2013修订）要求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952" w:type="dxa"/>
            <w:vMerge w:val="continue"/>
            <w:vAlign w:val="center"/>
          </w:tcPr>
          <w:p>
            <w:pPr>
              <w:jc w:val="center"/>
              <w:rPr>
                <w:rFonts w:ascii="Times New Roman" w:hAnsi="Times New Roman" w:cs="Times New Roman"/>
                <w:b/>
                <w:bCs/>
                <w:sz w:val="21"/>
                <w:szCs w:val="21"/>
              </w:rPr>
            </w:pPr>
          </w:p>
        </w:tc>
        <w:tc>
          <w:tcPr>
            <w:tcW w:w="1564" w:type="dxa"/>
            <w:vMerge w:val="continue"/>
            <w:vAlign w:val="center"/>
          </w:tcPr>
          <w:p>
            <w:pPr>
              <w:pStyle w:val="87"/>
              <w:snapToGrid w:val="0"/>
              <w:jc w:val="center"/>
              <w:textAlignment w:val="auto"/>
              <w:rPr>
                <w:rFonts w:ascii="Times New Roman" w:hAnsi="Times New Roman"/>
                <w:spacing w:val="-2"/>
                <w:szCs w:val="21"/>
              </w:rPr>
            </w:pPr>
          </w:p>
        </w:tc>
        <w:tc>
          <w:tcPr>
            <w:tcW w:w="1560" w:type="dxa"/>
            <w:vAlign w:val="center"/>
          </w:tcPr>
          <w:p>
            <w:pPr>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废</w:t>
            </w:r>
            <w:r>
              <w:rPr>
                <w:rFonts w:hint="eastAsia" w:ascii="Times New Roman" w:hAnsi="Times New Roman" w:cs="Times New Roman"/>
                <w:spacing w:val="-2"/>
                <w:sz w:val="21"/>
                <w:szCs w:val="21"/>
              </w:rPr>
              <w:t>润滑油</w:t>
            </w:r>
          </w:p>
        </w:tc>
        <w:tc>
          <w:tcPr>
            <w:tcW w:w="2584" w:type="dxa"/>
            <w:vMerge w:val="continue"/>
            <w:vAlign w:val="center"/>
          </w:tcPr>
          <w:p>
            <w:pPr>
              <w:jc w:val="center"/>
              <w:rPr>
                <w:rFonts w:ascii="Times New Roman" w:hAnsi="Times New Roman" w:cs="Times New Roman"/>
                <w:spacing w:val="-2"/>
                <w:sz w:val="21"/>
                <w:szCs w:val="21"/>
              </w:rPr>
            </w:pPr>
          </w:p>
        </w:tc>
        <w:tc>
          <w:tcPr>
            <w:tcW w:w="2237" w:type="dxa"/>
            <w:vMerge w:val="continue"/>
            <w:vAlign w:val="center"/>
          </w:tcPr>
          <w:p>
            <w:pPr>
              <w:jc w:val="center"/>
              <w:rPr>
                <w:rFonts w:ascii="Times New Roman" w:hAnsi="Times New Roman" w:cs="Times New Roman"/>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952" w:type="dxa"/>
            <w:vMerge w:val="continue"/>
            <w:vAlign w:val="center"/>
          </w:tcPr>
          <w:p>
            <w:pPr>
              <w:jc w:val="center"/>
              <w:rPr>
                <w:rFonts w:ascii="Times New Roman" w:hAnsi="Times New Roman" w:cs="Times New Roman"/>
                <w:b/>
                <w:bCs/>
                <w:sz w:val="21"/>
                <w:szCs w:val="21"/>
              </w:rPr>
            </w:pPr>
          </w:p>
        </w:tc>
        <w:tc>
          <w:tcPr>
            <w:tcW w:w="1564" w:type="dxa"/>
            <w:vMerge w:val="continue"/>
            <w:vAlign w:val="center"/>
          </w:tcPr>
          <w:p>
            <w:pPr>
              <w:pStyle w:val="87"/>
              <w:snapToGrid w:val="0"/>
              <w:jc w:val="center"/>
              <w:textAlignment w:val="auto"/>
              <w:rPr>
                <w:rFonts w:ascii="Times New Roman" w:hAnsi="Times New Roman"/>
                <w:spacing w:val="-2"/>
                <w:szCs w:val="21"/>
              </w:rPr>
            </w:pPr>
          </w:p>
        </w:tc>
        <w:tc>
          <w:tcPr>
            <w:tcW w:w="1560" w:type="dxa"/>
            <w:vAlign w:val="center"/>
          </w:tcPr>
          <w:p>
            <w:pPr>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废</w:t>
            </w:r>
            <w:r>
              <w:rPr>
                <w:rFonts w:hint="eastAsia" w:ascii="Times New Roman" w:hAnsi="Times New Roman" w:cs="Times New Roman"/>
                <w:spacing w:val="-2"/>
                <w:sz w:val="21"/>
                <w:szCs w:val="21"/>
              </w:rPr>
              <w:t>油</w:t>
            </w:r>
            <w:r>
              <w:rPr>
                <w:rFonts w:ascii="Times New Roman" w:hAnsi="Times New Roman" w:cs="Times New Roman"/>
                <w:spacing w:val="-2"/>
                <w:sz w:val="21"/>
                <w:szCs w:val="21"/>
              </w:rPr>
              <w:t>桶</w:t>
            </w:r>
          </w:p>
        </w:tc>
        <w:tc>
          <w:tcPr>
            <w:tcW w:w="2584" w:type="dxa"/>
            <w:vMerge w:val="continue"/>
            <w:vAlign w:val="center"/>
          </w:tcPr>
          <w:p>
            <w:pPr>
              <w:jc w:val="center"/>
              <w:rPr>
                <w:rFonts w:ascii="Times New Roman" w:hAnsi="Times New Roman" w:cs="Times New Roman"/>
                <w:spacing w:val="-2"/>
                <w:sz w:val="21"/>
                <w:szCs w:val="21"/>
              </w:rPr>
            </w:pPr>
          </w:p>
        </w:tc>
        <w:tc>
          <w:tcPr>
            <w:tcW w:w="2237" w:type="dxa"/>
            <w:vMerge w:val="continue"/>
            <w:vAlign w:val="center"/>
          </w:tcPr>
          <w:p>
            <w:pPr>
              <w:jc w:val="center"/>
              <w:rPr>
                <w:rFonts w:ascii="Times New Roman" w:hAnsi="Times New Roman" w:cs="Times New Roman"/>
                <w:spacing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trPr>
        <w:tc>
          <w:tcPr>
            <w:tcW w:w="952" w:type="dxa"/>
            <w:vMerge w:val="continue"/>
            <w:vAlign w:val="center"/>
          </w:tcPr>
          <w:p>
            <w:pPr>
              <w:jc w:val="center"/>
              <w:rPr>
                <w:rFonts w:ascii="Times New Roman" w:hAnsi="Times New Roman" w:cs="Times New Roman"/>
                <w:b/>
                <w:bCs/>
                <w:sz w:val="21"/>
                <w:szCs w:val="21"/>
              </w:rPr>
            </w:pPr>
          </w:p>
        </w:tc>
        <w:tc>
          <w:tcPr>
            <w:tcW w:w="1564" w:type="dxa"/>
            <w:vAlign w:val="center"/>
          </w:tcPr>
          <w:p>
            <w:pPr>
              <w:pStyle w:val="87"/>
              <w:snapToGrid w:val="0"/>
              <w:jc w:val="center"/>
              <w:textAlignment w:val="auto"/>
              <w:rPr>
                <w:rFonts w:ascii="Times New Roman" w:hAnsi="Times New Roman"/>
                <w:spacing w:val="-2"/>
                <w:szCs w:val="21"/>
              </w:rPr>
            </w:pPr>
            <w:r>
              <w:rPr>
                <w:rFonts w:ascii="Times New Roman" w:hAnsi="Times New Roman"/>
                <w:spacing w:val="-2"/>
                <w:szCs w:val="21"/>
              </w:rPr>
              <w:t>办公生活</w:t>
            </w:r>
          </w:p>
        </w:tc>
        <w:tc>
          <w:tcPr>
            <w:tcW w:w="1560" w:type="dxa"/>
            <w:vAlign w:val="center"/>
          </w:tcPr>
          <w:p>
            <w:pPr>
              <w:adjustRightInd w:val="0"/>
              <w:snapToGrid w:val="0"/>
              <w:jc w:val="center"/>
              <w:rPr>
                <w:rFonts w:ascii="Times New Roman" w:hAnsi="Times New Roman" w:cs="Times New Roman"/>
                <w:spacing w:val="-2"/>
                <w:sz w:val="21"/>
                <w:szCs w:val="21"/>
              </w:rPr>
            </w:pPr>
            <w:r>
              <w:rPr>
                <w:rFonts w:ascii="Times New Roman" w:hAnsi="Times New Roman" w:cs="Times New Roman"/>
                <w:spacing w:val="-2"/>
                <w:sz w:val="21"/>
                <w:szCs w:val="21"/>
              </w:rPr>
              <w:t>生活垃圾</w:t>
            </w:r>
          </w:p>
        </w:tc>
        <w:tc>
          <w:tcPr>
            <w:tcW w:w="2584" w:type="dxa"/>
            <w:vAlign w:val="center"/>
          </w:tcPr>
          <w:p>
            <w:pPr>
              <w:jc w:val="center"/>
              <w:rPr>
                <w:rFonts w:ascii="Times New Roman" w:hAnsi="Times New Roman" w:cs="Times New Roman"/>
                <w:spacing w:val="-2"/>
                <w:sz w:val="21"/>
                <w:szCs w:val="21"/>
              </w:rPr>
            </w:pPr>
            <w:r>
              <w:rPr>
                <w:rFonts w:hint="eastAsia" w:ascii="Times New Roman" w:hAnsi="Times New Roman" w:cs="Times New Roman"/>
                <w:sz w:val="21"/>
                <w:szCs w:val="21"/>
              </w:rPr>
              <w:t>垃圾桶收集后由环卫部门定期清运</w:t>
            </w:r>
          </w:p>
        </w:tc>
        <w:tc>
          <w:tcPr>
            <w:tcW w:w="2237" w:type="dxa"/>
            <w:vAlign w:val="center"/>
          </w:tcPr>
          <w:p>
            <w:pPr>
              <w:jc w:val="center"/>
              <w:rPr>
                <w:rFonts w:ascii="Times New Roman" w:hAnsi="Times New Roman" w:cs="Times New Roman"/>
                <w:spacing w:val="-2"/>
                <w:sz w:val="21"/>
                <w:szCs w:val="21"/>
              </w:rPr>
            </w:pPr>
            <w:r>
              <w:rPr>
                <w:rFonts w:hint="eastAsia" w:ascii="Times New Roman" w:hAnsi="Times New Roman" w:cs="Times New Roman"/>
                <w:spacing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52"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噪声</w:t>
            </w:r>
          </w:p>
        </w:tc>
        <w:tc>
          <w:tcPr>
            <w:tcW w:w="7945" w:type="dxa"/>
            <w:gridSpan w:val="4"/>
            <w:vAlign w:val="center"/>
          </w:tcPr>
          <w:p>
            <w:pPr>
              <w:ind w:firstLine="420" w:firstLineChars="200"/>
              <w:rPr>
                <w:rFonts w:ascii="Times New Roman" w:hAnsi="Times New Roman" w:cs="Times New Roman"/>
                <w:spacing w:val="-3"/>
                <w:sz w:val="21"/>
                <w:szCs w:val="21"/>
              </w:rPr>
            </w:pPr>
            <w:r>
              <w:rPr>
                <w:rFonts w:ascii="Times New Roman" w:hAnsi="Times New Roman" w:cs="Times New Roman"/>
                <w:kern w:val="0"/>
                <w:sz w:val="21"/>
                <w:szCs w:val="21"/>
              </w:rPr>
              <w:t>项目噪声主要来源于等</w:t>
            </w:r>
            <w:r>
              <w:rPr>
                <w:rFonts w:hint="eastAsia" w:ascii="Times New Roman" w:hAnsi="Times New Roman" w:cs="Times New Roman"/>
                <w:kern w:val="0"/>
                <w:sz w:val="21"/>
                <w:szCs w:val="21"/>
              </w:rPr>
              <w:t>切割锯、</w:t>
            </w:r>
            <w:r>
              <w:rPr>
                <w:rFonts w:ascii="Times New Roman" w:hAnsi="Times New Roman" w:cs="Times New Roman"/>
                <w:kern w:val="0"/>
                <w:sz w:val="21"/>
                <w:szCs w:val="21"/>
              </w:rPr>
              <w:t>离子切割机、剪板机、折弯机</w:t>
            </w:r>
            <w:r>
              <w:rPr>
                <w:rFonts w:hint="eastAsia" w:ascii="Times New Roman" w:hAnsi="Times New Roman" w:cs="Times New Roman"/>
                <w:kern w:val="0"/>
                <w:sz w:val="21"/>
                <w:szCs w:val="21"/>
              </w:rPr>
              <w:t>、台钻、卷板机、打磨机</w:t>
            </w:r>
            <w:r>
              <w:rPr>
                <w:rFonts w:ascii="Times New Roman" w:hAnsi="Times New Roman" w:cs="Times New Roman"/>
                <w:kern w:val="0"/>
                <w:sz w:val="21"/>
                <w:szCs w:val="21"/>
              </w:rPr>
              <w:t>等机械设备噪声及空压机空气动力性噪声，噪声源强为</w:t>
            </w:r>
            <w:r>
              <w:rPr>
                <w:rFonts w:hint="eastAsia" w:ascii="Times New Roman" w:hAnsi="Times New Roman" w:cs="Times New Roman"/>
                <w:kern w:val="0"/>
                <w:sz w:val="21"/>
                <w:szCs w:val="21"/>
              </w:rPr>
              <w:t>75</w:t>
            </w:r>
            <w:r>
              <w:rPr>
                <w:rFonts w:ascii="Times New Roman" w:hAnsi="Times New Roman" w:cs="Times New Roman"/>
                <w:kern w:val="0"/>
                <w:sz w:val="21"/>
                <w:szCs w:val="21"/>
              </w:rPr>
              <w:t>~90dB(A)。工程设备优先采用低噪声设备，同时设备均室内布置，加装减振基础、隔声、消声等降噪措施。各厂界噪声满足《工业企业厂界环境噪声排放标准》（GB12348-2008）</w:t>
            </w:r>
            <w:r>
              <w:rPr>
                <w:rFonts w:hint="eastAsia" w:ascii="Times New Roman" w:hAnsi="Times New Roman" w:cs="Times New Roman"/>
                <w:kern w:val="0"/>
                <w:sz w:val="21"/>
                <w:szCs w:val="21"/>
              </w:rPr>
              <w:t>3类</w:t>
            </w:r>
            <w:r>
              <w:rPr>
                <w:rFonts w:ascii="Times New Roman" w:hAnsi="Times New Roman" w:cs="Times New Roman"/>
                <w:kern w:val="0"/>
                <w:sz w:val="21"/>
                <w:szCs w:val="21"/>
              </w:rPr>
              <w:t>标准</w:t>
            </w:r>
            <w:r>
              <w:rPr>
                <w:rFonts w:hint="eastAsia" w:ascii="Times New Roman" w:hAnsi="Times New Roman" w:cs="Times New Roman"/>
                <w:kern w:val="0"/>
                <w:sz w:val="21"/>
                <w:szCs w:val="21"/>
              </w:rPr>
              <w:t>昼间</w:t>
            </w:r>
            <w:r>
              <w:rPr>
                <w:rFonts w:hint="eastAsia" w:ascii="Times New Roman" w:hAnsi="Times New Roman" w:cs="Times New Roman"/>
                <w:sz w:val="21"/>
                <w:szCs w:val="21"/>
              </w:rPr>
              <w:t xml:space="preserve"> 65 </w:t>
            </w:r>
            <w:r>
              <w:rPr>
                <w:rFonts w:ascii="Times New Roman" w:hAnsi="Times New Roman" w:cs="Times New Roman"/>
                <w:sz w:val="21"/>
                <w:szCs w:val="21"/>
              </w:rPr>
              <w:t>dB(A)</w:t>
            </w:r>
            <w:r>
              <w:rPr>
                <w:rFonts w:ascii="Times New Roman" w:hAnsi="Times New Roman" w:cs="Times New Roman"/>
                <w:kern w:val="0"/>
                <w:sz w:val="21"/>
                <w:szCs w:val="21"/>
              </w:rPr>
              <w:t>的要求，对周围声环境影响较小。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trPr>
        <w:tc>
          <w:tcPr>
            <w:tcW w:w="952" w:type="dxa"/>
            <w:vAlign w:val="center"/>
          </w:tcPr>
          <w:p>
            <w:pPr>
              <w:jc w:val="center"/>
              <w:rPr>
                <w:rFonts w:ascii="Times New Roman" w:hAnsi="Times New Roman" w:cs="Times New Roman"/>
                <w:b/>
                <w:bCs/>
                <w:sz w:val="21"/>
                <w:szCs w:val="21"/>
              </w:rPr>
            </w:pPr>
            <w:r>
              <w:rPr>
                <w:rFonts w:ascii="Times New Roman" w:hAnsi="Times New Roman" w:cs="Times New Roman"/>
                <w:b/>
                <w:bCs/>
                <w:sz w:val="21"/>
                <w:szCs w:val="21"/>
              </w:rPr>
              <w:t>其 他</w:t>
            </w:r>
          </w:p>
        </w:tc>
        <w:tc>
          <w:tcPr>
            <w:tcW w:w="7945" w:type="dxa"/>
            <w:gridSpan w:val="4"/>
            <w:vAlign w:val="center"/>
          </w:tcPr>
          <w:p>
            <w:pPr>
              <w:jc w:val="center"/>
              <w:rPr>
                <w:rFonts w:ascii="Times New Roman" w:hAnsi="Times New Roman" w:cs="Times New Roman"/>
                <w:sz w:val="21"/>
                <w:szCs w:val="21"/>
              </w:rPr>
            </w:pPr>
            <w:r>
              <w:rPr>
                <w:rFonts w:ascii="Times New Roman" w:hAnsi="Times New Roman" w:cs="Times New Roman"/>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897" w:type="dxa"/>
            <w:gridSpan w:val="5"/>
          </w:tcPr>
          <w:p>
            <w:pPr>
              <w:spacing w:line="480" w:lineRule="auto"/>
              <w:rPr>
                <w:rFonts w:ascii="Times New Roman" w:hAnsi="Times New Roman" w:cs="Times New Roman"/>
                <w:b/>
                <w:sz w:val="24"/>
                <w:szCs w:val="24"/>
              </w:rPr>
            </w:pPr>
            <w:r>
              <w:rPr>
                <w:rFonts w:ascii="Times New Roman" w:hAnsi="Times New Roman" w:cs="Times New Roman"/>
                <w:b/>
                <w:sz w:val="24"/>
                <w:szCs w:val="24"/>
              </w:rPr>
              <w:t>生态保护措施及预期效果</w:t>
            </w:r>
          </w:p>
          <w:p>
            <w:pPr>
              <w:adjustRightInd w:val="0"/>
              <w:snapToGrid w:val="0"/>
              <w:spacing w:line="360" w:lineRule="auto"/>
              <w:ind w:firstLine="480" w:firstLineChars="200"/>
              <w:rPr>
                <w:rFonts w:ascii="Times New Roman" w:hAnsi="Times New Roman" w:cs="Times New Roman"/>
                <w:sz w:val="21"/>
                <w:szCs w:val="21"/>
              </w:rPr>
            </w:pPr>
            <w:r>
              <w:rPr>
                <w:rFonts w:ascii="Times New Roman" w:hAnsi="Times New Roman" w:cs="Times New Roman"/>
                <w:sz w:val="24"/>
                <w:szCs w:val="24"/>
              </w:rPr>
              <w:t>根据现场环境的调查，本项目周围均为工业企业，项目运营期产生的污染因素均采取有效措施进行防治，对周围生态环境影响较小。</w:t>
            </w:r>
          </w:p>
        </w:tc>
      </w:tr>
    </w:tbl>
    <w:p>
      <w:pPr>
        <w:spacing w:line="360" w:lineRule="auto"/>
        <w:jc w:val="left"/>
        <w:outlineLvl w:val="0"/>
        <w:rPr>
          <w:rStyle w:val="103"/>
        </w:rPr>
      </w:pPr>
      <w:r>
        <w:rPr>
          <w:rFonts w:ascii="Times New Roman" w:hAnsi="Times New Roman" w:cs="Times New Roman"/>
          <w:b/>
          <w:sz w:val="30"/>
        </w:rPr>
        <w:br w:type="page"/>
      </w:r>
      <w:r>
        <w:rPr>
          <w:rStyle w:val="103"/>
        </w:rPr>
        <w:t>结论与建议</w:t>
      </w:r>
    </w:p>
    <w:tbl>
      <w:tblPr>
        <w:tblStyle w:val="28"/>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819" w:type="dxa"/>
          </w:tcPr>
          <w:p>
            <w:pPr>
              <w:adjustRightInd w:val="0"/>
              <w:snapToGrid w:val="0"/>
              <w:spacing w:line="490" w:lineRule="exact"/>
              <w:rPr>
                <w:rFonts w:ascii="Times New Roman" w:hAnsi="Times New Roman" w:eastAsia="黑体" w:cs="Times New Roman"/>
                <w:szCs w:val="28"/>
              </w:rPr>
            </w:pPr>
            <w:r>
              <w:rPr>
                <w:rFonts w:ascii="Times New Roman" w:hAnsi="Times New Roman" w:eastAsia="黑体" w:cs="Times New Roman"/>
                <w:szCs w:val="28"/>
              </w:rPr>
              <w:t>一、评价结论</w:t>
            </w:r>
          </w:p>
          <w:p>
            <w:pPr>
              <w:adjustRightInd w:val="0"/>
              <w:snapToGrid w:val="0"/>
              <w:spacing w:line="490" w:lineRule="exact"/>
              <w:ind w:firstLine="480" w:firstLineChars="200"/>
              <w:jc w:val="left"/>
              <w:rPr>
                <w:rFonts w:ascii="Times New Roman" w:hAnsi="Times New Roman" w:eastAsia="黑体" w:cs="Times New Roman"/>
                <w:bCs/>
                <w:sz w:val="24"/>
              </w:rPr>
            </w:pPr>
            <w:r>
              <w:rPr>
                <w:rFonts w:ascii="Times New Roman" w:hAnsi="Times New Roman" w:eastAsia="黑体" w:cs="Times New Roman"/>
                <w:bCs/>
                <w:sz w:val="24"/>
              </w:rPr>
              <w:t>1、项目建设符合国家产业政策</w:t>
            </w:r>
          </w:p>
          <w:p>
            <w:pPr>
              <w:adjustRightInd w:val="0"/>
              <w:snapToGrid w:val="0"/>
              <w:spacing w:line="490" w:lineRule="exact"/>
              <w:ind w:firstLine="480" w:firstLineChars="200"/>
              <w:jc w:val="left"/>
              <w:rPr>
                <w:rFonts w:ascii="Times New Roman" w:hAnsi="Times New Roman" w:cs="Times New Roman"/>
                <w:bCs/>
                <w:sz w:val="24"/>
              </w:rPr>
            </w:pPr>
            <w:r>
              <w:rPr>
                <w:rFonts w:ascii="Times New Roman" w:hAnsi="Times New Roman" w:cs="Times New Roman"/>
                <w:bCs/>
                <w:sz w:val="24"/>
              </w:rPr>
              <w:t>本项目主要进行</w:t>
            </w:r>
            <w:r>
              <w:rPr>
                <w:rFonts w:hint="eastAsia" w:ascii="Times New Roman" w:hAnsi="Times New Roman" w:cs="Times New Roman"/>
                <w:bCs/>
                <w:sz w:val="24"/>
              </w:rPr>
              <w:t>环保设备关键部件</w:t>
            </w:r>
            <w:r>
              <w:rPr>
                <w:rFonts w:ascii="Times New Roman" w:hAnsi="Times New Roman" w:cs="Times New Roman"/>
                <w:bCs/>
                <w:sz w:val="24"/>
              </w:rPr>
              <w:t>制造，经查阅《产业结构调整指导目录（2</w:t>
            </w:r>
            <w:r>
              <w:rPr>
                <w:rFonts w:hint="eastAsia" w:ascii="Times New Roman" w:hAnsi="Times New Roman" w:cs="Times New Roman"/>
                <w:bCs/>
                <w:sz w:val="24"/>
              </w:rPr>
              <w:t>019</w:t>
            </w:r>
            <w:r>
              <w:rPr>
                <w:rFonts w:ascii="Times New Roman" w:hAnsi="Times New Roman" w:cs="Times New Roman"/>
                <w:bCs/>
                <w:sz w:val="24"/>
              </w:rPr>
              <w:t>年本）》，</w:t>
            </w:r>
            <w:r>
              <w:rPr>
                <w:rFonts w:hint="eastAsia" w:ascii="Times New Roman" w:hAnsi="Times New Roman" w:cs="Times New Roman"/>
                <w:bCs/>
                <w:sz w:val="24"/>
              </w:rPr>
              <w:t>本扩建项目</w:t>
            </w:r>
            <w:r>
              <w:rPr>
                <w:rFonts w:ascii="Times New Roman" w:hAnsi="Times New Roman" w:cs="Times New Roman"/>
                <w:bCs/>
                <w:sz w:val="24"/>
              </w:rPr>
              <w:t>属于</w:t>
            </w:r>
            <w:r>
              <w:rPr>
                <w:rFonts w:hint="eastAsia" w:ascii="Times New Roman" w:hAnsi="Times New Roman" w:cs="Times New Roman"/>
                <w:bCs/>
                <w:sz w:val="24"/>
              </w:rPr>
              <w:t>鼓励</w:t>
            </w:r>
            <w:r>
              <w:rPr>
                <w:rFonts w:ascii="Times New Roman" w:hAnsi="Times New Roman" w:cs="Times New Roman"/>
                <w:bCs/>
                <w:sz w:val="24"/>
              </w:rPr>
              <w:t>类</w:t>
            </w:r>
            <w:r>
              <w:rPr>
                <w:rFonts w:hint="eastAsia" w:ascii="Times New Roman" w:hAnsi="Times New Roman" w:cs="Times New Roman"/>
                <w:bCs/>
                <w:sz w:val="24"/>
              </w:rPr>
              <w:t>第四十三项环境保护与资源节约综合利用 第22条“节能、节水、节材环保及资源综合利用等技术开发、应用及设备制造”</w:t>
            </w:r>
            <w:r>
              <w:rPr>
                <w:rFonts w:ascii="Times New Roman" w:hAnsi="Times New Roman" w:cs="Times New Roman"/>
                <w:bCs/>
                <w:sz w:val="24"/>
              </w:rPr>
              <w:t>，属于</w:t>
            </w:r>
            <w:r>
              <w:rPr>
                <w:rFonts w:hint="eastAsia" w:ascii="Times New Roman" w:hAnsi="Times New Roman" w:cs="Times New Roman"/>
                <w:bCs/>
                <w:sz w:val="24"/>
              </w:rPr>
              <w:t>鼓励类</w:t>
            </w:r>
            <w:r>
              <w:rPr>
                <w:rFonts w:ascii="Times New Roman" w:hAnsi="Times New Roman" w:cs="Times New Roman"/>
                <w:bCs/>
                <w:sz w:val="24"/>
              </w:rPr>
              <w:t>项目</w:t>
            </w:r>
            <w:r>
              <w:rPr>
                <w:rFonts w:hint="eastAsia" w:ascii="Times New Roman" w:hAnsi="Times New Roman" w:cs="Times New Roman"/>
                <w:bCs/>
                <w:sz w:val="24"/>
              </w:rPr>
              <w:t>。</w:t>
            </w:r>
            <w:r>
              <w:rPr>
                <w:rFonts w:ascii="Times New Roman" w:hAnsi="Times New Roman" w:cs="Times New Roman"/>
                <w:bCs/>
                <w:sz w:val="24"/>
              </w:rPr>
              <w:t>项目已在新乡市</w:t>
            </w:r>
            <w:r>
              <w:rPr>
                <w:rFonts w:hint="eastAsia" w:ascii="Times New Roman" w:hAnsi="Times New Roman" w:cs="Times New Roman"/>
                <w:bCs/>
                <w:sz w:val="24"/>
              </w:rPr>
              <w:t>新乡经济技术开发区</w:t>
            </w:r>
            <w:r>
              <w:rPr>
                <w:rFonts w:ascii="Times New Roman" w:hAnsi="Times New Roman" w:cs="Times New Roman"/>
                <w:bCs/>
                <w:sz w:val="24"/>
              </w:rPr>
              <w:t>发展和改革委员会</w:t>
            </w:r>
            <w:r>
              <w:rPr>
                <w:rFonts w:hint="eastAsia" w:ascii="Times New Roman" w:hAnsi="Times New Roman" w:cs="Times New Roman"/>
                <w:bCs/>
                <w:sz w:val="24"/>
              </w:rPr>
              <w:t>（经济发展局）</w:t>
            </w:r>
            <w:r>
              <w:rPr>
                <w:rFonts w:ascii="Times New Roman" w:hAnsi="Times New Roman" w:cs="Times New Roman"/>
                <w:bCs/>
                <w:sz w:val="24"/>
              </w:rPr>
              <w:t>备案，项目代码为</w:t>
            </w:r>
            <w:r>
              <w:rPr>
                <w:rFonts w:hint="eastAsia" w:ascii="Times New Roman" w:hAnsi="Times New Roman" w:cs="Times New Roman"/>
                <w:bCs/>
                <w:sz w:val="24"/>
              </w:rPr>
              <w:t>2020-410772-35-03-006465（详见附件2）</w:t>
            </w:r>
            <w:r>
              <w:rPr>
                <w:rFonts w:ascii="Times New Roman" w:hAnsi="Times New Roman" w:cs="Times New Roman"/>
                <w:bCs/>
                <w:sz w:val="24"/>
              </w:rPr>
              <w:t>。因此，本项目符合国家有关产业政策。</w:t>
            </w:r>
          </w:p>
          <w:p>
            <w:pPr>
              <w:adjustRightInd w:val="0"/>
              <w:snapToGrid w:val="0"/>
              <w:spacing w:line="490" w:lineRule="exact"/>
              <w:ind w:firstLine="480" w:firstLineChars="200"/>
              <w:jc w:val="left"/>
              <w:rPr>
                <w:rFonts w:ascii="Times New Roman" w:hAnsi="Times New Roman" w:eastAsia="黑体" w:cs="Times New Roman"/>
                <w:bCs/>
                <w:sz w:val="24"/>
              </w:rPr>
            </w:pPr>
            <w:r>
              <w:rPr>
                <w:rFonts w:ascii="Times New Roman" w:hAnsi="Times New Roman" w:eastAsia="黑体" w:cs="Times New Roman"/>
                <w:bCs/>
                <w:sz w:val="24"/>
              </w:rPr>
              <w:t>2、项目选址可行性</w:t>
            </w:r>
          </w:p>
          <w:p>
            <w:pPr>
              <w:adjustRightInd w:val="0"/>
              <w:snapToGrid w:val="0"/>
              <w:spacing w:line="490" w:lineRule="exact"/>
              <w:ind w:firstLine="464" w:firstLineChars="200"/>
              <w:jc w:val="left"/>
              <w:rPr>
                <w:rFonts w:ascii="Times New Roman" w:hAnsi="Times New Roman" w:cs="Times New Roman"/>
                <w:spacing w:val="-4"/>
                <w:sz w:val="24"/>
              </w:rPr>
            </w:pPr>
            <w:r>
              <w:rPr>
                <w:rFonts w:hint="eastAsia" w:ascii="Times New Roman" w:hAnsi="Times New Roman" w:cs="Times New Roman"/>
                <w:spacing w:val="-4"/>
                <w:sz w:val="24"/>
              </w:rPr>
              <w:t>（1）</w:t>
            </w:r>
            <w:r>
              <w:rPr>
                <w:rFonts w:ascii="Times New Roman" w:hAnsi="Times New Roman" w:cs="Times New Roman"/>
                <w:spacing w:val="-4"/>
                <w:sz w:val="24"/>
              </w:rPr>
              <w:t>本扩建项目利用原有项目厂房，选址位于新乡市新乡经济技术开发区支一路与支四路交叉口向东150米，厂区中心地理坐标为：经度 114°3′50.84″；纬度 35°17′21.29″。根据《新乡工业产业集聚区（后更名为新乡经济技术开发区）发展规划环境影响报告书》用地规划图显示，该项目用地属于一类工业用地，符合新乡经济技术开发区用地规划要求。</w:t>
            </w:r>
          </w:p>
          <w:p>
            <w:pPr>
              <w:adjustRightInd w:val="0"/>
              <w:snapToGrid w:val="0"/>
              <w:spacing w:line="490" w:lineRule="exact"/>
              <w:ind w:firstLine="464" w:firstLineChars="200"/>
              <w:jc w:val="left"/>
              <w:rPr>
                <w:rFonts w:ascii="Times New Roman" w:hAnsi="Times New Roman" w:cs="Times New Roman"/>
                <w:spacing w:val="-4"/>
                <w:sz w:val="24"/>
              </w:rPr>
            </w:pPr>
            <w:r>
              <w:rPr>
                <w:rFonts w:hint="eastAsia" w:ascii="Times New Roman" w:hAnsi="Times New Roman" w:cs="Times New Roman"/>
                <w:spacing w:val="-4"/>
                <w:sz w:val="24"/>
              </w:rPr>
              <w:t>（</w:t>
            </w:r>
            <w:r>
              <w:rPr>
                <w:rFonts w:ascii="Times New Roman" w:hAnsi="Times New Roman" w:cs="Times New Roman"/>
                <w:spacing w:val="-4"/>
                <w:sz w:val="24"/>
              </w:rPr>
              <w:t>2</w:t>
            </w:r>
            <w:r>
              <w:rPr>
                <w:rFonts w:hint="eastAsia" w:ascii="Times New Roman" w:hAnsi="Times New Roman" w:cs="Times New Roman"/>
                <w:spacing w:val="-4"/>
                <w:sz w:val="24"/>
              </w:rPr>
              <w:t>）</w:t>
            </w:r>
            <w:r>
              <w:rPr>
                <w:rFonts w:ascii="Times New Roman" w:hAnsi="Times New Roman" w:cs="Times New Roman"/>
                <w:spacing w:val="-4"/>
                <w:sz w:val="24"/>
              </w:rPr>
              <w:t>与项目选址最近的地表水源地为凤泉水厂地下水饮用水源保护区，距离约为19.95km；相距较远，与项目选址最近的地下水保护水源地为古固寨镇地下水饮用水源，距离约7.75km，距离较远，因此。本项目不在水源地保护区范围内，不会对其造成影响。</w:t>
            </w:r>
          </w:p>
          <w:p>
            <w:pPr>
              <w:adjustRightInd w:val="0"/>
              <w:snapToGrid w:val="0"/>
              <w:spacing w:line="490" w:lineRule="exact"/>
              <w:ind w:firstLine="464" w:firstLineChars="200"/>
              <w:jc w:val="left"/>
              <w:rPr>
                <w:rFonts w:ascii="Times New Roman" w:hAnsi="Times New Roman" w:cs="Times New Roman"/>
                <w:spacing w:val="-4"/>
                <w:sz w:val="24"/>
              </w:rPr>
            </w:pPr>
            <w:r>
              <w:rPr>
                <w:rFonts w:ascii="Times New Roman" w:hAnsi="Times New Roman" w:cs="Times New Roman"/>
                <w:spacing w:val="-4"/>
                <w:sz w:val="24"/>
              </w:rPr>
              <w:t>本项目评价范围内无自然保护区、风景名胜区、饮用水源保护区等保护目标。。</w:t>
            </w:r>
          </w:p>
          <w:p>
            <w:pPr>
              <w:adjustRightInd w:val="0"/>
              <w:snapToGrid w:val="0"/>
              <w:spacing w:line="490" w:lineRule="exact"/>
              <w:ind w:firstLine="464" w:firstLineChars="200"/>
              <w:jc w:val="left"/>
              <w:rPr>
                <w:rFonts w:ascii="Times New Roman" w:hAnsi="Times New Roman" w:cs="Times New Roman"/>
                <w:spacing w:val="-4"/>
                <w:sz w:val="24"/>
              </w:rPr>
            </w:pPr>
            <w:r>
              <w:rPr>
                <w:rFonts w:hint="eastAsia" w:ascii="Times New Roman" w:hAnsi="Times New Roman" w:cs="Times New Roman"/>
                <w:spacing w:val="-4"/>
                <w:sz w:val="24"/>
              </w:rPr>
              <w:t>（3）</w:t>
            </w:r>
            <w:r>
              <w:rPr>
                <w:rFonts w:ascii="Times New Roman" w:hAnsi="Times New Roman" w:cs="Times New Roman"/>
                <w:spacing w:val="-4"/>
                <w:sz w:val="24"/>
              </w:rPr>
              <w:t>本项目废气、废水和噪声等污染物在采取评价要求和建议的防治措施后，各污染物均能实现达标排放或综合利用，固废处置措施合理，对区域环境影响可以接受。</w:t>
            </w:r>
          </w:p>
          <w:p>
            <w:pPr>
              <w:adjustRightInd w:val="0"/>
              <w:snapToGrid w:val="0"/>
              <w:spacing w:line="490" w:lineRule="exact"/>
              <w:ind w:firstLine="464" w:firstLineChars="200"/>
              <w:jc w:val="left"/>
              <w:rPr>
                <w:rFonts w:ascii="Times New Roman" w:hAnsi="Times New Roman" w:cs="Times New Roman"/>
                <w:spacing w:val="-4"/>
                <w:sz w:val="24"/>
              </w:rPr>
            </w:pPr>
            <w:r>
              <w:rPr>
                <w:rFonts w:ascii="Times New Roman" w:hAnsi="Times New Roman" w:cs="Times New Roman"/>
                <w:spacing w:val="-4"/>
                <w:sz w:val="24"/>
              </w:rPr>
              <w:t>综上所述，从环保角度而言，项目选址可行。</w:t>
            </w:r>
          </w:p>
          <w:p>
            <w:pPr>
              <w:adjustRightInd w:val="0"/>
              <w:snapToGrid w:val="0"/>
              <w:spacing w:after="190" w:afterLines="50" w:line="490" w:lineRule="exact"/>
              <w:ind w:firstLine="480" w:firstLineChars="200"/>
              <w:jc w:val="left"/>
              <w:rPr>
                <w:rFonts w:ascii="Times New Roman" w:hAnsi="Times New Roman" w:eastAsia="黑体" w:cs="Times New Roman"/>
                <w:bCs/>
                <w:sz w:val="24"/>
              </w:rPr>
            </w:pPr>
            <w:r>
              <w:rPr>
                <w:rFonts w:ascii="Times New Roman" w:hAnsi="Times New Roman" w:eastAsia="黑体" w:cs="Times New Roman"/>
                <w:bCs/>
                <w:sz w:val="24"/>
              </w:rPr>
              <w:t>3、项目的污染治理措施可行性分析</w:t>
            </w:r>
          </w:p>
          <w:p>
            <w:pPr>
              <w:pStyle w:val="24"/>
              <w:spacing w:before="0" w:beforeAutospacing="0" w:after="0" w:afterAutospacing="0"/>
              <w:ind w:firstLine="480" w:firstLineChars="200"/>
              <w:jc w:val="both"/>
              <w:rPr>
                <w:rFonts w:ascii="Times New Roman" w:hAnsi="Times New Roman" w:cs="Times New Roman"/>
                <w:kern w:val="2"/>
              </w:rPr>
            </w:pPr>
            <w:r>
              <w:rPr>
                <w:rFonts w:ascii="Times New Roman" w:hAnsi="Times New Roman" w:cs="Times New Roman"/>
                <w:kern w:val="2"/>
              </w:rPr>
              <w:t>（1）环境空气</w:t>
            </w:r>
          </w:p>
          <w:p>
            <w:pPr>
              <w:spacing w:line="490" w:lineRule="exact"/>
              <w:ind w:firstLine="480" w:firstLineChars="200"/>
              <w:rPr>
                <w:rFonts w:ascii="Times New Roman" w:hAnsi="Times New Roman" w:cs="Times New Roman"/>
                <w:sz w:val="24"/>
                <w:szCs w:val="24"/>
              </w:rPr>
            </w:pPr>
            <w:r>
              <w:rPr>
                <w:rFonts w:ascii="Times New Roman" w:hAnsi="Times New Roman" w:cs="Times New Roman"/>
                <w:sz w:val="24"/>
                <w:szCs w:val="24"/>
              </w:rPr>
              <w:t>项目下料、焊接、打磨工序</w:t>
            </w:r>
            <w:r>
              <w:rPr>
                <w:rFonts w:hint="eastAsia" w:ascii="Times New Roman" w:hAnsi="Times New Roman" w:cs="Times New Roman"/>
                <w:sz w:val="24"/>
                <w:szCs w:val="24"/>
              </w:rPr>
              <w:t>共设置2个固定工位，</w:t>
            </w:r>
            <w:r>
              <w:rPr>
                <w:rFonts w:ascii="Times New Roman" w:hAnsi="Times New Roman" w:cs="Times New Roman"/>
                <w:sz w:val="24"/>
                <w:szCs w:val="24"/>
              </w:rPr>
              <w:t>产生的废气</w:t>
            </w:r>
            <w:r>
              <w:rPr>
                <w:rFonts w:hint="eastAsia" w:ascii="Times New Roman" w:hAnsi="Times New Roman" w:cs="Times New Roman"/>
                <w:sz w:val="24"/>
                <w:szCs w:val="24"/>
              </w:rPr>
              <w:t>分别采用集气罩（共计2个）收集，引致1套脉冲式袋式除尘器治理后，尾气通过1根15m高排气筒排放，</w:t>
            </w:r>
            <w:r>
              <w:rPr>
                <w:rFonts w:ascii="Times New Roman" w:hAnsi="Times New Roman" w:cs="Times New Roman"/>
                <w:sz w:val="24"/>
                <w:szCs w:val="24"/>
              </w:rPr>
              <w:t>浓度能够满足大气污染物综合排放标准》GB16297-1996）表2二级标准（</w:t>
            </w:r>
            <w:r>
              <w:rPr>
                <w:rFonts w:hint="eastAsia" w:ascii="Times New Roman" w:hAnsi="Times New Roman" w:cs="Times New Roman"/>
                <w:b/>
                <w:bCs/>
                <w:sz w:val="24"/>
                <w:szCs w:val="24"/>
                <w:u w:val="single"/>
              </w:rPr>
              <w:t xml:space="preserve">120 </w:t>
            </w:r>
            <w:r>
              <w:rPr>
                <w:rFonts w:ascii="Times New Roman" w:hAnsi="Times New Roman" w:cs="Times New Roman"/>
                <w:b/>
                <w:bCs/>
                <w:sz w:val="24"/>
                <w:szCs w:val="24"/>
                <w:u w:val="single"/>
              </w:rPr>
              <w:t>mg/m</w:t>
            </w:r>
            <w:r>
              <w:rPr>
                <w:rFonts w:ascii="Times New Roman" w:hAnsi="Times New Roman" w:cs="Times New Roman"/>
                <w:b/>
                <w:bCs/>
                <w:sz w:val="24"/>
                <w:szCs w:val="24"/>
                <w:u w:val="single"/>
                <w:vertAlign w:val="superscript"/>
              </w:rPr>
              <w:t>3</w:t>
            </w:r>
            <w:r>
              <w:rPr>
                <w:rFonts w:hint="eastAsia" w:ascii="Times New Roman" w:hAnsi="Times New Roman" w:cs="Times New Roman"/>
                <w:b/>
                <w:bCs/>
                <w:sz w:val="24"/>
                <w:szCs w:val="24"/>
                <w:u w:val="single"/>
              </w:rPr>
              <w:t>，</w:t>
            </w:r>
            <w:r>
              <w:rPr>
                <w:rFonts w:ascii="Times New Roman" w:hAnsi="Times New Roman" w:cs="Times New Roman"/>
                <w:b/>
                <w:bCs/>
                <w:sz w:val="24"/>
                <w:szCs w:val="24"/>
                <w:u w:val="single"/>
              </w:rPr>
              <w:t>3.5kg/h</w:t>
            </w:r>
            <w:r>
              <w:rPr>
                <w:rFonts w:ascii="Times New Roman" w:hAnsi="Times New Roman" w:cs="Times New Roman"/>
                <w:sz w:val="24"/>
                <w:szCs w:val="24"/>
              </w:rPr>
              <w:t>）要求。对周边环境影响可接受。</w:t>
            </w:r>
          </w:p>
          <w:p>
            <w:pPr>
              <w:spacing w:line="490" w:lineRule="exact"/>
              <w:ind w:firstLine="480" w:firstLineChars="200"/>
              <w:rPr>
                <w:rFonts w:ascii="Times New Roman" w:hAnsi="Times New Roman" w:cs="Times New Roman"/>
                <w:sz w:val="24"/>
                <w:szCs w:val="24"/>
              </w:rPr>
            </w:pPr>
            <w:r>
              <w:rPr>
                <w:rFonts w:ascii="Times New Roman" w:hAnsi="Times New Roman" w:cs="Times New Roman"/>
                <w:sz w:val="24"/>
                <w:szCs w:val="24"/>
              </w:rPr>
              <w:t>本项目</w:t>
            </w:r>
            <w:r>
              <w:rPr>
                <w:rFonts w:hint="eastAsia" w:ascii="Times New Roman" w:hAnsi="Times New Roman" w:cs="Times New Roman"/>
                <w:sz w:val="24"/>
                <w:szCs w:val="24"/>
              </w:rPr>
              <w:t>拟新建</w:t>
            </w:r>
            <w:r>
              <w:rPr>
                <w:rFonts w:ascii="Times New Roman" w:hAnsi="Times New Roman" w:cs="Times New Roman"/>
                <w:sz w:val="24"/>
                <w:szCs w:val="24"/>
              </w:rPr>
              <w:t>食堂，食堂油烟废气统一收集后由排气筒引至油烟净化设备净化处理后</w:t>
            </w:r>
            <w:r>
              <w:rPr>
                <w:rFonts w:hint="eastAsia" w:ascii="Times New Roman" w:hAnsi="Times New Roman" w:cs="Times New Roman"/>
                <w:sz w:val="24"/>
                <w:szCs w:val="24"/>
              </w:rPr>
              <w:t>在楼房侧面</w:t>
            </w:r>
            <w:r>
              <w:rPr>
                <w:rFonts w:ascii="Times New Roman" w:hAnsi="Times New Roman" w:cs="Times New Roman"/>
                <w:sz w:val="24"/>
                <w:szCs w:val="24"/>
              </w:rPr>
              <w:t>排放。满足《河南省餐饮业油烟污染物排放标准》（DB41/1604-2018）和新乡市环境污染防治攻坚战三年行动实施方案（2018-2020年）中大型饮食业单位排放浓度（油烟最高允许排放浓度1.</w:t>
            </w:r>
            <w:r>
              <w:rPr>
                <w:rFonts w:hint="eastAsia" w:ascii="Times New Roman" w:hAnsi="Times New Roman" w:cs="Times New Roman"/>
                <w:sz w:val="24"/>
                <w:szCs w:val="24"/>
              </w:rPr>
              <w:t>5</w:t>
            </w:r>
            <w:r>
              <w:rPr>
                <w:rFonts w:ascii="Times New Roman" w:hAnsi="Times New Roman" w:cs="Times New Roman"/>
                <w:sz w:val="24"/>
                <w:szCs w:val="24"/>
              </w:rPr>
              <w:t xml:space="preserve"> mg/</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ascii="Times New Roman" w:hAnsi="Times New Roman" w:cs="Times New Roman"/>
                <w:sz w:val="24"/>
                <w:szCs w:val="24"/>
              </w:rPr>
              <w:t>，油烟净化设施去除效率不低于9</w:t>
            </w:r>
            <w:r>
              <w:rPr>
                <w:rFonts w:hint="eastAsia" w:ascii="Times New Roman" w:hAnsi="Times New Roman" w:cs="Times New Roman"/>
                <w:sz w:val="24"/>
                <w:szCs w:val="24"/>
              </w:rPr>
              <w:t>0</w:t>
            </w:r>
            <w:r>
              <w:rPr>
                <w:rFonts w:ascii="Times New Roman" w:hAnsi="Times New Roman" w:cs="Times New Roman"/>
                <w:sz w:val="24"/>
                <w:szCs w:val="24"/>
              </w:rPr>
              <w:t>%）的要求。</w:t>
            </w:r>
          </w:p>
          <w:p>
            <w:pPr>
              <w:pStyle w:val="24"/>
              <w:spacing w:before="0" w:beforeAutospacing="0" w:after="0" w:afterAutospacing="0"/>
              <w:ind w:firstLine="480" w:firstLineChars="200"/>
              <w:jc w:val="both"/>
              <w:rPr>
                <w:rFonts w:ascii="Times New Roman" w:hAnsi="Times New Roman" w:cs="Times New Roman"/>
                <w:kern w:val="2"/>
              </w:rPr>
            </w:pPr>
            <w:r>
              <w:rPr>
                <w:rFonts w:ascii="Times New Roman" w:hAnsi="Times New Roman" w:cs="Times New Roman"/>
                <w:kern w:val="2"/>
              </w:rPr>
              <w:t>（2）地表水</w:t>
            </w:r>
          </w:p>
          <w:p>
            <w:pPr>
              <w:pStyle w:val="24"/>
              <w:adjustRightInd w:val="0"/>
              <w:snapToGrid w:val="0"/>
              <w:spacing w:before="0" w:beforeAutospacing="0" w:after="0" w:afterAutospacing="0" w:line="360" w:lineRule="auto"/>
              <w:ind w:firstLine="480" w:firstLineChars="200"/>
              <w:jc w:val="both"/>
              <w:rPr>
                <w:rFonts w:ascii="Times New Roman" w:hAnsi="Times New Roman" w:cs="Times New Roman"/>
                <w:kern w:val="2"/>
              </w:rPr>
            </w:pPr>
            <w:r>
              <w:rPr>
                <w:rFonts w:ascii="Times New Roman" w:hAnsi="Times New Roman" w:cs="Times New Roman"/>
                <w:kern w:val="2"/>
              </w:rPr>
              <w:t>项目废水主要为生活污水，</w:t>
            </w:r>
            <w:r>
              <w:rPr>
                <w:rFonts w:ascii="Times New Roman" w:hAnsi="Times New Roman" w:cs="Times New Roman"/>
              </w:rPr>
              <w:t>生活污水经市政污水管网全部</w:t>
            </w:r>
            <w:r>
              <w:rPr>
                <w:rFonts w:hint="eastAsia" w:ascii="Times New Roman" w:hAnsi="Times New Roman" w:cs="Times New Roman"/>
              </w:rPr>
              <w:t>小店</w:t>
            </w:r>
            <w:r>
              <w:rPr>
                <w:rFonts w:ascii="Times New Roman" w:hAnsi="Times New Roman" w:cs="Times New Roman"/>
              </w:rPr>
              <w:t>处理厂</w:t>
            </w:r>
            <w:r>
              <w:rPr>
                <w:rFonts w:hint="eastAsia" w:ascii="Times New Roman" w:hAnsi="Times New Roman" w:cs="Times New Roman"/>
                <w:bCs/>
              </w:rPr>
              <w:t>二期</w:t>
            </w:r>
            <w:r>
              <w:rPr>
                <w:rFonts w:ascii="Times New Roman" w:hAnsi="Times New Roman" w:cs="Times New Roman"/>
              </w:rPr>
              <w:t>进行统一处理</w:t>
            </w:r>
            <w:r>
              <w:rPr>
                <w:rFonts w:ascii="Times New Roman" w:hAnsi="Times New Roman" w:cs="Times New Roman"/>
                <w:kern w:val="2"/>
              </w:rPr>
              <w:t>，</w:t>
            </w:r>
            <w:r>
              <w:rPr>
                <w:rFonts w:hint="eastAsia" w:ascii="Times New Roman" w:hAnsi="Times New Roman" w:cs="Times New Roman"/>
                <w:b/>
                <w:bCs/>
                <w:kern w:val="2"/>
                <w:u w:val="single"/>
              </w:rPr>
              <w:t>满足小店污水处理厂二期收水水质标准（COD 350 mg/L、SS 280 mg/L、氨氮 30 mg/L、TP 2 mg/L）</w:t>
            </w:r>
            <w:r>
              <w:rPr>
                <w:rFonts w:hint="eastAsia" w:ascii="Times New Roman" w:hAnsi="Times New Roman" w:cs="Times New Roman"/>
                <w:kern w:val="2"/>
              </w:rPr>
              <w:t>，</w:t>
            </w:r>
            <w:r>
              <w:rPr>
                <w:rFonts w:ascii="Times New Roman" w:hAnsi="Times New Roman" w:cs="Times New Roman"/>
                <w:kern w:val="2"/>
              </w:rPr>
              <w:t>不会对周围地表水体造成影响，项目废水治理措施可行，地表水环境影响可接受。</w:t>
            </w:r>
          </w:p>
          <w:p>
            <w:pPr>
              <w:pStyle w:val="24"/>
              <w:spacing w:before="0" w:beforeAutospacing="0" w:after="0" w:afterAutospacing="0"/>
              <w:ind w:firstLine="480" w:firstLineChars="200"/>
              <w:jc w:val="both"/>
              <w:rPr>
                <w:rFonts w:ascii="Times New Roman" w:hAnsi="Times New Roman" w:cs="Times New Roman"/>
                <w:kern w:val="2"/>
              </w:rPr>
            </w:pPr>
            <w:r>
              <w:rPr>
                <w:rFonts w:ascii="Times New Roman" w:hAnsi="Times New Roman" w:cs="Times New Roman"/>
                <w:kern w:val="2"/>
              </w:rPr>
              <w:t>（3）声环境</w:t>
            </w:r>
          </w:p>
          <w:p>
            <w:pPr>
              <w:pStyle w:val="24"/>
              <w:adjustRightInd w:val="0"/>
              <w:snapToGrid w:val="0"/>
              <w:spacing w:before="0" w:beforeAutospacing="0" w:after="0" w:afterAutospacing="0" w:line="490" w:lineRule="exact"/>
              <w:ind w:firstLine="480" w:firstLineChars="200"/>
              <w:jc w:val="both"/>
              <w:rPr>
                <w:rFonts w:ascii="Times New Roman" w:hAnsi="Times New Roman" w:cs="Times New Roman"/>
                <w:kern w:val="2"/>
              </w:rPr>
            </w:pPr>
            <w:r>
              <w:rPr>
                <w:rFonts w:ascii="Times New Roman" w:hAnsi="Times New Roman" w:cs="Times New Roman"/>
                <w:kern w:val="2"/>
              </w:rPr>
              <w:t>项目噪声主要来源于等切割锯、离子切割机、剪板机、折弯机、台钻、卷板机等机械设备噪声及空压机空气动力性噪声，项目营运期噪声经室内布置，基础减振、厂房密闭隔音、距离衰减</w:t>
            </w:r>
            <w:r>
              <w:rPr>
                <w:rFonts w:hint="eastAsia" w:ascii="Times New Roman" w:hAnsi="Times New Roman" w:cs="Times New Roman"/>
                <w:kern w:val="2"/>
              </w:rPr>
              <w:t>后</w:t>
            </w:r>
            <w:r>
              <w:rPr>
                <w:rFonts w:ascii="Times New Roman" w:hAnsi="Times New Roman" w:cs="Times New Roman"/>
                <w:kern w:val="2"/>
              </w:rPr>
              <w:t>，项目厂界昼间噪声值均可以满足《工业企业厂界环境噪声排放标准》（GB12348-2008）中的</w:t>
            </w:r>
            <w:r>
              <w:rPr>
                <w:rFonts w:hint="eastAsia" w:ascii="Times New Roman" w:hAnsi="Times New Roman" w:cs="Times New Roman"/>
                <w:kern w:val="2"/>
              </w:rPr>
              <w:t>3类</w:t>
            </w:r>
            <w:r>
              <w:rPr>
                <w:rFonts w:ascii="Times New Roman" w:hAnsi="Times New Roman" w:cs="Times New Roman"/>
                <w:kern w:val="2"/>
              </w:rPr>
              <w:t>标准（昼间≤</w:t>
            </w:r>
            <w:r>
              <w:rPr>
                <w:rFonts w:hint="eastAsia" w:ascii="Times New Roman" w:hAnsi="Times New Roman" w:cs="Times New Roman"/>
                <w:kern w:val="2"/>
              </w:rPr>
              <w:t>65dB</w:t>
            </w:r>
            <w:r>
              <w:rPr>
                <w:rFonts w:ascii="Times New Roman" w:hAnsi="Times New Roman" w:cs="Times New Roman"/>
                <w:kern w:val="2"/>
              </w:rPr>
              <w:t>（A）），敏感点陈堡村噪声预测值能够满足《声环境质量标准》(GB3096-2008)</w:t>
            </w:r>
            <w:r>
              <w:rPr>
                <w:rFonts w:hint="eastAsia" w:ascii="Times New Roman" w:hAnsi="Times New Roman" w:cs="Times New Roman"/>
                <w:kern w:val="2"/>
              </w:rPr>
              <w:t>3类</w:t>
            </w:r>
            <w:r>
              <w:rPr>
                <w:rFonts w:ascii="Times New Roman" w:hAnsi="Times New Roman" w:cs="Times New Roman"/>
                <w:kern w:val="2"/>
              </w:rPr>
              <w:t>标准要求。综上所述，项目噪声对周围声环境及周围敏感点影响是可以接受的。</w:t>
            </w:r>
          </w:p>
          <w:p>
            <w:pPr>
              <w:pStyle w:val="24"/>
              <w:spacing w:before="0" w:beforeAutospacing="0" w:after="0" w:afterAutospacing="0"/>
              <w:ind w:firstLine="480" w:firstLineChars="200"/>
              <w:jc w:val="both"/>
              <w:rPr>
                <w:rFonts w:ascii="Times New Roman" w:hAnsi="Times New Roman" w:cs="Times New Roman"/>
                <w:kern w:val="2"/>
              </w:rPr>
            </w:pPr>
            <w:r>
              <w:rPr>
                <w:rFonts w:ascii="Times New Roman" w:hAnsi="Times New Roman" w:cs="Times New Roman"/>
                <w:kern w:val="2"/>
              </w:rPr>
              <w:t xml:space="preserve">（4）固体废物 </w:t>
            </w:r>
          </w:p>
          <w:p>
            <w:pPr>
              <w:pStyle w:val="24"/>
              <w:adjustRightInd w:val="0"/>
              <w:snapToGrid w:val="0"/>
              <w:spacing w:before="0" w:beforeAutospacing="0" w:after="0" w:afterAutospacing="0" w:line="490" w:lineRule="exact"/>
              <w:ind w:firstLine="480" w:firstLineChars="200"/>
              <w:jc w:val="both"/>
              <w:rPr>
                <w:rFonts w:ascii="Times New Roman" w:hAnsi="Times New Roman" w:cs="Times New Roman"/>
                <w:kern w:val="2"/>
              </w:rPr>
            </w:pPr>
            <w:r>
              <w:rPr>
                <w:rFonts w:ascii="Times New Roman" w:hAnsi="Times New Roman" w:cs="Times New Roman"/>
                <w:kern w:val="2"/>
              </w:rPr>
              <w:t>本项目产生的固废主要有一般固废、危险废物。项目生产过程产生的一般工业固废</w:t>
            </w:r>
            <w:r>
              <w:rPr>
                <w:rFonts w:hint="eastAsia" w:ascii="Times New Roman" w:hAnsi="Times New Roman" w:cs="Times New Roman"/>
                <w:kern w:val="2"/>
              </w:rPr>
              <w:t>包括金属碎屑（桌面、地面散落粉尘）、废边角料、废包装物、除尘器收集粉尘，</w:t>
            </w:r>
            <w:r>
              <w:rPr>
                <w:rFonts w:ascii="Times New Roman" w:hAnsi="Times New Roman" w:cs="Times New Roman"/>
                <w:kern w:val="2"/>
              </w:rPr>
              <w:t>均</w:t>
            </w:r>
            <w:r>
              <w:rPr>
                <w:rFonts w:hint="eastAsia" w:ascii="Times New Roman" w:hAnsi="Times New Roman" w:cs="Times New Roman"/>
                <w:kern w:val="2"/>
              </w:rPr>
              <w:t>集中收集于</w:t>
            </w:r>
            <w:r>
              <w:rPr>
                <w:rFonts w:ascii="Times New Roman" w:hAnsi="Times New Roman" w:cs="Times New Roman"/>
                <w:kern w:val="2"/>
              </w:rPr>
              <w:t>一般固废暂存间</w:t>
            </w:r>
            <w:r>
              <w:rPr>
                <w:rFonts w:hint="eastAsia" w:ascii="Times New Roman" w:hAnsi="Times New Roman" w:cs="Times New Roman"/>
                <w:kern w:val="2"/>
              </w:rPr>
              <w:t>（1座，10m</w:t>
            </w:r>
            <w:r>
              <w:rPr>
                <w:rFonts w:hint="eastAsia" w:ascii="Times New Roman" w:hAnsi="Times New Roman" w:cs="Times New Roman"/>
                <w:kern w:val="2"/>
                <w:vertAlign w:val="superscript"/>
              </w:rPr>
              <w:t>2</w:t>
            </w:r>
            <w:r>
              <w:rPr>
                <w:rFonts w:hint="eastAsia" w:ascii="Times New Roman" w:hAnsi="Times New Roman" w:cs="Times New Roman"/>
                <w:kern w:val="2"/>
              </w:rPr>
              <w:t>）后交由</w:t>
            </w:r>
            <w:r>
              <w:rPr>
                <w:rFonts w:ascii="Times New Roman" w:hAnsi="Times New Roman" w:cs="Times New Roman"/>
                <w:kern w:val="2"/>
              </w:rPr>
              <w:t>回收利用单位</w:t>
            </w:r>
            <w:r>
              <w:rPr>
                <w:rFonts w:hint="eastAsia" w:ascii="Times New Roman" w:hAnsi="Times New Roman" w:cs="Times New Roman"/>
                <w:kern w:val="2"/>
              </w:rPr>
              <w:t>回收利用</w:t>
            </w:r>
            <w:r>
              <w:rPr>
                <w:rFonts w:ascii="Times New Roman" w:hAnsi="Times New Roman" w:cs="Times New Roman"/>
                <w:kern w:val="2"/>
              </w:rPr>
              <w:t>；危险废物</w:t>
            </w:r>
            <w:r>
              <w:rPr>
                <w:rFonts w:hint="eastAsia" w:ascii="Times New Roman" w:hAnsi="Times New Roman" w:cs="Times New Roman"/>
                <w:kern w:val="2"/>
              </w:rPr>
              <w:t>包括废液压油、废润滑油、废油桶，集中收集于危废暂存间（1座，4m</w:t>
            </w:r>
            <w:r>
              <w:rPr>
                <w:rFonts w:hint="eastAsia" w:ascii="Times New Roman" w:hAnsi="Times New Roman" w:cs="Times New Roman"/>
                <w:kern w:val="2"/>
                <w:vertAlign w:val="superscript"/>
              </w:rPr>
              <w:t>2</w:t>
            </w:r>
            <w:r>
              <w:rPr>
                <w:rFonts w:hint="eastAsia" w:ascii="Times New Roman" w:hAnsi="Times New Roman" w:cs="Times New Roman"/>
                <w:kern w:val="2"/>
              </w:rPr>
              <w:t>）后由有资质的危废处置单位</w:t>
            </w:r>
            <w:r>
              <w:rPr>
                <w:rFonts w:ascii="Times New Roman" w:hAnsi="Times New Roman" w:cs="Times New Roman"/>
                <w:kern w:val="2"/>
              </w:rPr>
              <w:t>进行安全处置。生活垃圾经垃圾箱收集后由环卫部门进行清运。经过采取</w:t>
            </w:r>
            <w:r>
              <w:rPr>
                <w:rFonts w:hint="eastAsia" w:ascii="Times New Roman" w:hAnsi="Times New Roman" w:cs="Times New Roman"/>
                <w:kern w:val="2"/>
              </w:rPr>
              <w:t>上</w:t>
            </w:r>
            <w:r>
              <w:rPr>
                <w:rFonts w:ascii="Times New Roman" w:hAnsi="Times New Roman" w:cs="Times New Roman"/>
                <w:kern w:val="2"/>
              </w:rPr>
              <w:t>述措施处理后，</w:t>
            </w:r>
            <w:r>
              <w:rPr>
                <w:rFonts w:hint="eastAsia" w:ascii="Times New Roman" w:hAnsi="Times New Roman" w:cs="Times New Roman"/>
                <w:kern w:val="2"/>
              </w:rPr>
              <w:t>满足《一般工业固体废物贮存、处置场污染控制标准》（GB18599-2001）（2013修订）要求和《危险废物贮存污染控制标准》（GB18597-2001）（2013修订）要求。因此，</w:t>
            </w:r>
            <w:r>
              <w:rPr>
                <w:rFonts w:ascii="Times New Roman" w:hAnsi="Times New Roman" w:cs="Times New Roman"/>
                <w:kern w:val="2"/>
              </w:rPr>
              <w:t>本项目产生的固体废物不会对周围环境产生明显不良影响。</w:t>
            </w:r>
          </w:p>
          <w:p>
            <w:pPr>
              <w:adjustRightInd w:val="0"/>
              <w:snapToGrid w:val="0"/>
              <w:spacing w:after="190" w:afterLines="50" w:line="490" w:lineRule="exact"/>
              <w:ind w:firstLine="480" w:firstLineChars="200"/>
              <w:jc w:val="left"/>
              <w:rPr>
                <w:rFonts w:ascii="Times New Roman" w:hAnsi="Times New Roman" w:eastAsia="黑体" w:cs="Times New Roman"/>
                <w:bCs/>
                <w:sz w:val="24"/>
              </w:rPr>
            </w:pPr>
            <w:r>
              <w:rPr>
                <w:rFonts w:ascii="Times New Roman" w:hAnsi="Times New Roman" w:eastAsia="黑体" w:cs="Times New Roman"/>
                <w:bCs/>
                <w:sz w:val="24"/>
              </w:rPr>
              <w:t>4、总量控制</w:t>
            </w:r>
          </w:p>
          <w:p>
            <w:pPr>
              <w:adjustRightInd w:val="0"/>
              <w:snapToGrid w:val="0"/>
              <w:spacing w:line="360" w:lineRule="auto"/>
              <w:ind w:firstLine="480" w:firstLineChars="200"/>
              <w:rPr>
                <w:rFonts w:ascii="Times New Roman" w:hAnsi="Times New Roman" w:cs="Times New Roman"/>
                <w:b/>
                <w:sz w:val="24"/>
                <w:szCs w:val="24"/>
              </w:rPr>
            </w:pPr>
            <w:r>
              <w:rPr>
                <w:rFonts w:ascii="Times New Roman" w:hAnsi="Times New Roman" w:cs="Times New Roman"/>
                <w:sz w:val="24"/>
                <w:szCs w:val="24"/>
              </w:rPr>
              <w:t>根据《新乡市建设项目新增总量指标替代管理指导意见（试行）》规定，本指导意见所指主要污染物为：化学需氧量（COD）、氨氮（NH</w:t>
            </w:r>
            <w:r>
              <w:rPr>
                <w:rFonts w:ascii="Times New Roman" w:hAnsi="Times New Roman" w:cs="Times New Roman"/>
                <w:sz w:val="24"/>
                <w:szCs w:val="24"/>
                <w:vertAlign w:val="subscript"/>
              </w:rPr>
              <w:t>3</w:t>
            </w:r>
            <w:r>
              <w:rPr>
                <w:rFonts w:ascii="Times New Roman" w:hAnsi="Times New Roman" w:cs="Times New Roman"/>
                <w:sz w:val="24"/>
                <w:szCs w:val="24"/>
              </w:rPr>
              <w:t>-N）、二氧化硫（SO</w:t>
            </w:r>
            <w:r>
              <w:rPr>
                <w:rFonts w:ascii="Times New Roman" w:hAnsi="Times New Roman" w:cs="Times New Roman"/>
                <w:sz w:val="24"/>
                <w:szCs w:val="24"/>
                <w:vertAlign w:val="subscript"/>
              </w:rPr>
              <w:t>2</w:t>
            </w:r>
            <w:r>
              <w:rPr>
                <w:rFonts w:ascii="Times New Roman" w:hAnsi="Times New Roman" w:cs="Times New Roman"/>
                <w:sz w:val="24"/>
                <w:szCs w:val="24"/>
              </w:rPr>
              <w:t>）、氮氧化物（NOx）、颗粒物（TSP）、挥发性有机物（VOCs）。因此，申请的总量见</w:t>
            </w:r>
            <w:r>
              <w:rPr>
                <w:rFonts w:hint="eastAsia" w:ascii="Times New Roman" w:hAnsi="Times New Roman" w:cs="Times New Roman"/>
                <w:sz w:val="24"/>
                <w:szCs w:val="24"/>
              </w:rPr>
              <w:t>为COD：0.012t/a；</w:t>
            </w:r>
            <w:r>
              <w:rPr>
                <w:rFonts w:ascii="Times New Roman" w:hAnsi="Times New Roman" w:cs="Times New Roman"/>
                <w:sz w:val="24"/>
                <w:szCs w:val="24"/>
              </w:rPr>
              <w:t>氨氮</w:t>
            </w:r>
            <w:r>
              <w:rPr>
                <w:rFonts w:hint="eastAsia" w:ascii="Times New Roman" w:hAnsi="Times New Roman" w:cs="Times New Roman"/>
                <w:sz w:val="24"/>
                <w:szCs w:val="24"/>
              </w:rPr>
              <w:t>：0.0006t/a；颗粒物0.00558t/a，</w:t>
            </w:r>
            <w:r>
              <w:rPr>
                <w:rFonts w:ascii="Times New Roman" w:hAnsi="Times New Roman" w:cs="Times New Roman"/>
                <w:bCs/>
                <w:sz w:val="24"/>
                <w:szCs w:val="24"/>
              </w:rPr>
              <w:t>区域内同意该项目从</w:t>
            </w:r>
            <w:r>
              <w:rPr>
                <w:rFonts w:hint="eastAsia" w:ascii="Times New Roman" w:hAnsi="Times New Roman" w:cs="Times New Roman"/>
                <w:bCs/>
                <w:sz w:val="24"/>
                <w:szCs w:val="24"/>
              </w:rPr>
              <w:t>区域</w:t>
            </w:r>
            <w:r>
              <w:rPr>
                <w:rFonts w:ascii="Times New Roman" w:hAnsi="Times New Roman" w:cs="Times New Roman"/>
                <w:bCs/>
                <w:sz w:val="24"/>
                <w:szCs w:val="24"/>
              </w:rPr>
              <w:t>年度总量预算指标内</w:t>
            </w:r>
            <w:r>
              <w:rPr>
                <w:rFonts w:hint="eastAsia" w:ascii="Times New Roman" w:hAnsi="Times New Roman" w:cs="Times New Roman"/>
                <w:bCs/>
                <w:sz w:val="24"/>
                <w:szCs w:val="24"/>
              </w:rPr>
              <w:t>支</w:t>
            </w:r>
            <w:r>
              <w:rPr>
                <w:rFonts w:ascii="Times New Roman" w:hAnsi="Times New Roman" w:cs="Times New Roman"/>
                <w:bCs/>
                <w:sz w:val="24"/>
                <w:szCs w:val="24"/>
              </w:rPr>
              <w:t>取。</w:t>
            </w:r>
          </w:p>
          <w:p>
            <w:pPr>
              <w:spacing w:line="490" w:lineRule="exact"/>
              <w:ind w:firstLine="480" w:firstLineChars="200"/>
              <w:jc w:val="left"/>
              <w:rPr>
                <w:rFonts w:ascii="Times New Roman" w:hAnsi="Times New Roman" w:eastAsia="黑体" w:cs="Times New Roman"/>
                <w:bCs/>
                <w:sz w:val="24"/>
              </w:rPr>
            </w:pPr>
            <w:r>
              <w:rPr>
                <w:rFonts w:ascii="Times New Roman" w:hAnsi="Times New Roman" w:eastAsia="黑体" w:cs="Times New Roman"/>
                <w:bCs/>
                <w:sz w:val="24"/>
              </w:rPr>
              <w:t>5、环保投资</w:t>
            </w:r>
          </w:p>
          <w:p>
            <w:pPr>
              <w:spacing w:line="490" w:lineRule="exact"/>
              <w:ind w:firstLine="480" w:firstLineChars="200"/>
              <w:jc w:val="left"/>
              <w:rPr>
                <w:rFonts w:ascii="Times New Roman" w:hAnsi="Times New Roman" w:cs="Times New Roman"/>
                <w:bCs/>
                <w:sz w:val="24"/>
              </w:rPr>
            </w:pPr>
            <w:r>
              <w:rPr>
                <w:rFonts w:ascii="Times New Roman" w:hAnsi="Times New Roman" w:cs="Times New Roman"/>
                <w:bCs/>
                <w:sz w:val="24"/>
              </w:rPr>
              <w:t>项目总投资</w:t>
            </w:r>
            <w:r>
              <w:rPr>
                <w:rFonts w:hint="eastAsia" w:ascii="Times New Roman" w:hAnsi="Times New Roman" w:cs="Times New Roman"/>
                <w:bCs/>
                <w:sz w:val="24"/>
              </w:rPr>
              <w:t>6</w:t>
            </w:r>
            <w:r>
              <w:rPr>
                <w:rFonts w:ascii="Times New Roman" w:hAnsi="Times New Roman" w:cs="Times New Roman"/>
                <w:bCs/>
                <w:sz w:val="24"/>
              </w:rPr>
              <w:t>00万，环保投资</w:t>
            </w:r>
            <w:r>
              <w:rPr>
                <w:rFonts w:hint="eastAsia" w:ascii="Times New Roman" w:hAnsi="Times New Roman" w:cs="Times New Roman"/>
                <w:bCs/>
                <w:sz w:val="24"/>
              </w:rPr>
              <w:t>15</w:t>
            </w:r>
            <w:r>
              <w:rPr>
                <w:rFonts w:ascii="Times New Roman" w:hAnsi="Times New Roman" w:cs="Times New Roman"/>
                <w:bCs/>
                <w:sz w:val="24"/>
              </w:rPr>
              <w:t>万，占总投资比例的</w:t>
            </w:r>
            <w:r>
              <w:rPr>
                <w:rFonts w:hint="eastAsia" w:ascii="Times New Roman" w:hAnsi="Times New Roman" w:cs="Times New Roman"/>
                <w:bCs/>
                <w:sz w:val="24"/>
              </w:rPr>
              <w:t>2.5</w:t>
            </w:r>
            <w:r>
              <w:rPr>
                <w:rFonts w:ascii="Times New Roman" w:hAnsi="Times New Roman" w:cs="Times New Roman"/>
                <w:bCs/>
                <w:sz w:val="24"/>
              </w:rPr>
              <w:t>%，应在建设过程中认真落实。</w:t>
            </w:r>
          </w:p>
          <w:p>
            <w:pPr>
              <w:autoSpaceDE w:val="0"/>
              <w:autoSpaceDN w:val="0"/>
              <w:adjustRightInd w:val="0"/>
              <w:snapToGrid w:val="0"/>
              <w:spacing w:line="490" w:lineRule="exact"/>
              <w:ind w:right="264"/>
              <w:jc w:val="left"/>
              <w:rPr>
                <w:rFonts w:ascii="Times New Roman" w:hAnsi="Times New Roman" w:eastAsia="黑体" w:cs="Times New Roman"/>
                <w:szCs w:val="28"/>
              </w:rPr>
            </w:pPr>
            <w:r>
              <w:rPr>
                <w:rFonts w:ascii="Times New Roman" w:hAnsi="Times New Roman" w:eastAsia="黑体" w:cs="Times New Roman"/>
                <w:szCs w:val="28"/>
              </w:rPr>
              <w:t>二、评价建议</w:t>
            </w:r>
          </w:p>
          <w:p>
            <w:pPr>
              <w:adjustRightInd w:val="0"/>
              <w:snapToGrid w:val="0"/>
              <w:spacing w:line="490" w:lineRule="exact"/>
              <w:ind w:firstLine="480" w:firstLineChars="200"/>
              <w:rPr>
                <w:rFonts w:ascii="Times New Roman" w:hAnsi="Times New Roman" w:cs="Times New Roman"/>
                <w:sz w:val="24"/>
              </w:rPr>
            </w:pPr>
            <w:r>
              <w:rPr>
                <w:rFonts w:ascii="Times New Roman" w:hAnsi="Times New Roman" w:cs="Times New Roman"/>
                <w:sz w:val="24"/>
              </w:rPr>
              <w:t>1  建议项目建设单位严格落实环保</w:t>
            </w:r>
            <w:r>
              <w:rPr>
                <w:rFonts w:hint="eastAsia" w:ascii="Times New Roman" w:hAnsi="Times New Roman" w:cs="Times New Roman"/>
                <w:sz w:val="24"/>
              </w:rPr>
              <w:t>“</w:t>
            </w:r>
            <w:r>
              <w:rPr>
                <w:rFonts w:ascii="Times New Roman" w:hAnsi="Times New Roman" w:cs="Times New Roman"/>
                <w:sz w:val="24"/>
              </w:rPr>
              <w:t>三同时</w:t>
            </w:r>
            <w:r>
              <w:rPr>
                <w:rFonts w:hint="eastAsia" w:ascii="Times New Roman" w:hAnsi="Times New Roman" w:cs="Times New Roman"/>
                <w:sz w:val="24"/>
              </w:rPr>
              <w:t>”</w:t>
            </w:r>
            <w:r>
              <w:rPr>
                <w:rFonts w:ascii="Times New Roman" w:hAnsi="Times New Roman" w:cs="Times New Roman"/>
                <w:sz w:val="24"/>
              </w:rPr>
              <w:t>制度，待各项污染防治措施建成，及时申请建设项目竣工环境保护验收。</w:t>
            </w:r>
          </w:p>
          <w:p>
            <w:pPr>
              <w:adjustRightInd w:val="0"/>
              <w:snapToGrid w:val="0"/>
              <w:spacing w:line="490" w:lineRule="exact"/>
              <w:ind w:firstLine="480" w:firstLineChars="200"/>
              <w:rPr>
                <w:rFonts w:ascii="Times New Roman" w:hAnsi="Times New Roman" w:cs="Times New Roman"/>
                <w:sz w:val="24"/>
              </w:rPr>
            </w:pPr>
            <w:r>
              <w:rPr>
                <w:rFonts w:ascii="Times New Roman" w:hAnsi="Times New Roman" w:cs="Times New Roman"/>
                <w:sz w:val="24"/>
              </w:rPr>
              <w:t>2  加强职工操作培训，提高职工技术水平和安全环保意识，建立健全的各项规章制度，注意正确的操作规程。避免因操作失误造成的安全事故和环境影响。</w:t>
            </w:r>
          </w:p>
          <w:p>
            <w:pPr>
              <w:adjustRightInd w:val="0"/>
              <w:snapToGrid w:val="0"/>
              <w:spacing w:line="490" w:lineRule="exact"/>
              <w:ind w:firstLine="480" w:firstLineChars="200"/>
              <w:rPr>
                <w:rFonts w:ascii="Times New Roman" w:hAnsi="Times New Roman" w:cs="Times New Roman"/>
                <w:sz w:val="24"/>
              </w:rPr>
            </w:pPr>
            <w:r>
              <w:rPr>
                <w:rFonts w:ascii="Times New Roman" w:hAnsi="Times New Roman" w:cs="Times New Roman"/>
                <w:sz w:val="24"/>
                <w:szCs w:val="24"/>
              </w:rPr>
              <w:t xml:space="preserve">3  </w:t>
            </w:r>
            <w:r>
              <w:rPr>
                <w:rFonts w:ascii="Times New Roman" w:hAnsi="Times New Roman" w:cs="Times New Roman"/>
                <w:sz w:val="24"/>
              </w:rPr>
              <w:t>加强环境意识教育，制定环保设施操作管理规程，建立健全各项环保岗位责任制，确保环保设施正常、稳定运行，防止污染事故发生。</w:t>
            </w:r>
          </w:p>
          <w:p>
            <w:pPr>
              <w:adjustRightInd w:val="0"/>
              <w:snapToGrid w:val="0"/>
              <w:spacing w:line="360" w:lineRule="auto"/>
              <w:rPr>
                <w:rFonts w:ascii="Times New Roman" w:hAnsi="Times New Roman" w:eastAsia="黑体" w:cs="Times New Roman"/>
                <w:szCs w:val="28"/>
              </w:rPr>
            </w:pPr>
          </w:p>
          <w:p>
            <w:pPr>
              <w:adjustRightInd w:val="0"/>
              <w:snapToGrid w:val="0"/>
              <w:spacing w:line="360" w:lineRule="auto"/>
              <w:rPr>
                <w:rFonts w:ascii="Times New Roman" w:hAnsi="Times New Roman" w:eastAsia="黑体" w:cs="Times New Roman"/>
                <w:szCs w:val="28"/>
              </w:rPr>
            </w:pPr>
            <w:r>
              <w:rPr>
                <w:rFonts w:ascii="Times New Roman" w:hAnsi="Times New Roman" w:eastAsia="黑体" w:cs="Times New Roman"/>
                <w:szCs w:val="28"/>
              </w:rPr>
              <w:t>三、总结论</w:t>
            </w:r>
          </w:p>
          <w:p>
            <w:pPr>
              <w:adjustRightInd w:val="0"/>
              <w:snapToGrid w:val="0"/>
              <w:spacing w:line="360" w:lineRule="auto"/>
              <w:ind w:firstLine="480" w:firstLineChars="200"/>
              <w:rPr>
                <w:rFonts w:ascii="Times New Roman" w:hAnsi="Times New Roman" w:eastAsia="黑体" w:cs="Times New Roman"/>
                <w:sz w:val="24"/>
                <w:szCs w:val="24"/>
              </w:rPr>
            </w:pPr>
            <w:r>
              <w:rPr>
                <w:rFonts w:ascii="Times New Roman" w:hAnsi="Times New Roman" w:eastAsia="黑体" w:cs="Times New Roman"/>
                <w:sz w:val="24"/>
                <w:szCs w:val="24"/>
              </w:rPr>
              <w:t>综上所述，新乡市红阳油脂工程技术有限公司年产300套环保设备关键部件制造项目项目符合国家政策要求，厂址选择合理，在认真落实评价提出的各项污染防治措施及评价建议后，各项污染因素对周围环境影响较小，因此，从环保角度分析，评价认为本项目的建设可行。</w:t>
            </w:r>
          </w:p>
          <w:p>
            <w:pPr>
              <w:adjustRightInd w:val="0"/>
              <w:snapToGrid w:val="0"/>
              <w:spacing w:line="360" w:lineRule="auto"/>
              <w:ind w:firstLine="480" w:firstLineChars="200"/>
              <w:rPr>
                <w:rFonts w:ascii="Times New Roman" w:hAnsi="Times New Roman" w:eastAsia="黑体" w:cs="Times New Roman"/>
                <w:sz w:val="24"/>
                <w:szCs w:val="24"/>
              </w:rPr>
            </w:pPr>
          </w:p>
          <w:p>
            <w:pPr>
              <w:adjustRightInd w:val="0"/>
              <w:snapToGrid w:val="0"/>
              <w:spacing w:line="360" w:lineRule="auto"/>
              <w:ind w:firstLine="480" w:firstLineChars="200"/>
              <w:rPr>
                <w:rFonts w:ascii="Times New Roman" w:hAnsi="Times New Roman" w:eastAsia="黑体" w:cs="Times New Roman"/>
                <w:sz w:val="24"/>
                <w:szCs w:val="24"/>
              </w:rPr>
            </w:pPr>
          </w:p>
          <w:p>
            <w:pPr>
              <w:adjustRightInd w:val="0"/>
              <w:snapToGrid w:val="0"/>
              <w:spacing w:line="360" w:lineRule="auto"/>
              <w:rPr>
                <w:rFonts w:ascii="Times New Roman" w:hAnsi="Times New Roman" w:eastAsia="黑体" w:cs="Times New Roman"/>
                <w:sz w:val="24"/>
                <w:szCs w:val="24"/>
              </w:rPr>
            </w:pPr>
          </w:p>
          <w:p>
            <w:pPr>
              <w:adjustRightInd w:val="0"/>
              <w:snapToGrid w:val="0"/>
              <w:spacing w:line="360" w:lineRule="auto"/>
              <w:ind w:firstLine="480" w:firstLineChars="200"/>
              <w:rPr>
                <w:rFonts w:ascii="Times New Roman" w:hAnsi="Times New Roman" w:eastAsia="黑体" w:cs="Times New Roman"/>
                <w:sz w:val="24"/>
                <w:szCs w:val="24"/>
              </w:rPr>
            </w:pPr>
          </w:p>
          <w:p>
            <w:pPr>
              <w:pStyle w:val="34"/>
              <w:spacing w:line="360" w:lineRule="auto"/>
              <w:jc w:val="right"/>
              <w:rPr>
                <w:rFonts w:ascii="Times New Roman" w:hAnsi="Times New Roman" w:eastAsia="宋体" w:cs="Times New Roman"/>
                <w:bCs/>
              </w:rPr>
            </w:pPr>
            <w:r>
              <w:rPr>
                <w:rFonts w:ascii="Times New Roman" w:hAnsi="Times New Roman" w:eastAsia="宋体" w:cs="Times New Roman"/>
                <w:bCs/>
              </w:rPr>
              <w:t>北京凯协节能环保科技有限公司</w:t>
            </w:r>
          </w:p>
          <w:p>
            <w:pPr>
              <w:pStyle w:val="34"/>
              <w:spacing w:line="360" w:lineRule="auto"/>
              <w:ind w:firstLine="6240" w:firstLineChars="2600"/>
              <w:jc w:val="left"/>
              <w:rPr>
                <w:rFonts w:ascii="Times New Roman" w:hAnsi="Times New Roman" w:cs="Times New Roman"/>
                <w:b/>
              </w:rPr>
            </w:pPr>
            <w:r>
              <w:rPr>
                <w:rFonts w:ascii="Times New Roman" w:hAnsi="Times New Roman" w:eastAsia="宋体" w:cs="Times New Roman"/>
                <w:bCs/>
              </w:rPr>
              <w:t>2020年4月</w:t>
            </w:r>
            <w:r>
              <w:rPr>
                <w:rFonts w:hint="eastAsia" w:ascii="Times New Roman" w:hAnsi="Times New Roman" w:eastAsia="宋体" w:cs="Times New Roman"/>
                <w:bCs/>
              </w:rPr>
              <w:t>16</w:t>
            </w:r>
            <w:r>
              <w:rPr>
                <w:rFonts w:ascii="Times New Roman" w:hAnsi="Times New Roman" w:eastAsia="宋体" w:cs="Times New Roman"/>
                <w:bCs/>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0" w:hRule="atLeast"/>
          <w:jc w:val="center"/>
        </w:trPr>
        <w:tc>
          <w:tcPr>
            <w:tcW w:w="8819" w:type="dxa"/>
          </w:tcPr>
          <w:p>
            <w:pPr>
              <w:spacing w:line="480" w:lineRule="exact"/>
              <w:rPr>
                <w:rFonts w:ascii="Times New Roman" w:hAnsi="Times New Roman" w:cs="Times New Roman"/>
                <w:sz w:val="24"/>
              </w:rPr>
            </w:pPr>
            <w:r>
              <w:rPr>
                <w:rFonts w:ascii="Times New Roman" w:hAnsi="Times New Roman" w:cs="Times New Roman"/>
                <w:sz w:val="24"/>
              </w:rPr>
              <w:t>预审意见：</w:t>
            </w:r>
          </w:p>
          <w:p>
            <w:pPr>
              <w:spacing w:line="480" w:lineRule="exact"/>
              <w:rPr>
                <w:rFonts w:ascii="Times New Roman" w:hAnsi="Times New Roman" w:cs="Times New Roman"/>
                <w:color w:val="FF0000"/>
              </w:rPr>
            </w:pPr>
          </w:p>
          <w:p>
            <w:pPr>
              <w:spacing w:line="480" w:lineRule="exact"/>
              <w:rPr>
                <w:rFonts w:ascii="Times New Roman" w:hAnsi="Times New Roman" w:cs="Times New Roman"/>
                <w:color w:val="FF0000"/>
              </w:rPr>
            </w:pPr>
          </w:p>
          <w:p>
            <w:pPr>
              <w:spacing w:line="480" w:lineRule="exact"/>
              <w:rPr>
                <w:rFonts w:ascii="Times New Roman" w:hAnsi="Times New Roman" w:cs="Times New Roman"/>
                <w:color w:val="FF0000"/>
              </w:rPr>
            </w:pPr>
          </w:p>
          <w:p>
            <w:pPr>
              <w:spacing w:line="480" w:lineRule="exact"/>
              <w:rPr>
                <w:rFonts w:ascii="Times New Roman" w:hAnsi="Times New Roman" w:cs="Times New Roman"/>
                <w:color w:val="FF0000"/>
              </w:rPr>
            </w:pPr>
          </w:p>
          <w:p>
            <w:pPr>
              <w:pStyle w:val="2"/>
              <w:rPr>
                <w:rFonts w:ascii="Times New Roman" w:hAnsi="Times New Roman" w:eastAsia="宋体" w:cs="Times New Roman"/>
                <w:color w:val="FF0000"/>
                <w:sz w:val="28"/>
              </w:rPr>
            </w:pPr>
          </w:p>
          <w:p/>
          <w:p>
            <w:pPr>
              <w:spacing w:line="480" w:lineRule="exact"/>
              <w:rPr>
                <w:rFonts w:ascii="Times New Roman" w:hAnsi="Times New Roman" w:cs="Times New Roman"/>
              </w:rPr>
            </w:pPr>
          </w:p>
          <w:p>
            <w:pPr>
              <w:spacing w:line="480" w:lineRule="exact"/>
              <w:ind w:firstLine="6496" w:firstLineChars="2707"/>
              <w:rPr>
                <w:rFonts w:ascii="Times New Roman" w:hAnsi="Times New Roman" w:cs="Times New Roman"/>
                <w:sz w:val="24"/>
              </w:rPr>
            </w:pPr>
            <w:r>
              <w:rPr>
                <w:rFonts w:ascii="Times New Roman" w:hAnsi="Times New Roman" w:cs="Times New Roman"/>
                <w:sz w:val="24"/>
              </w:rPr>
              <w:t>公    章</w:t>
            </w:r>
          </w:p>
          <w:p>
            <w:pPr>
              <w:spacing w:line="480" w:lineRule="exact"/>
              <w:ind w:firstLine="6496" w:firstLineChars="2707"/>
              <w:rPr>
                <w:rFonts w:ascii="Times New Roman" w:hAnsi="Times New Roman" w:cs="Times New Roman"/>
                <w:sz w:val="24"/>
              </w:rPr>
            </w:pPr>
          </w:p>
          <w:p>
            <w:pPr>
              <w:spacing w:line="480" w:lineRule="exact"/>
              <w:rPr>
                <w:rFonts w:ascii="Times New Roman" w:hAnsi="Times New Roman" w:cs="Times New Roman"/>
                <w:sz w:val="24"/>
              </w:rPr>
            </w:pPr>
            <w:r>
              <w:rPr>
                <w:rFonts w:ascii="Times New Roman" w:hAnsi="Times New Roman" w:cs="Times New Roman"/>
                <w:sz w:val="24"/>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0" w:hRule="atLeast"/>
          <w:jc w:val="center"/>
        </w:trPr>
        <w:tc>
          <w:tcPr>
            <w:tcW w:w="8819" w:type="dxa"/>
          </w:tcPr>
          <w:p>
            <w:pPr>
              <w:rPr>
                <w:rFonts w:ascii="Times New Roman" w:hAnsi="Times New Roman" w:cs="Times New Roman"/>
                <w:color w:val="FF0000"/>
                <w:sz w:val="24"/>
              </w:rPr>
            </w:pPr>
          </w:p>
          <w:p>
            <w:pPr>
              <w:rPr>
                <w:rFonts w:ascii="Times New Roman" w:hAnsi="Times New Roman" w:cs="Times New Roman"/>
                <w:sz w:val="24"/>
              </w:rPr>
            </w:pPr>
            <w:r>
              <w:rPr>
                <w:rFonts w:ascii="Times New Roman" w:hAnsi="Times New Roman" w:cs="Times New Roman"/>
                <w:sz w:val="24"/>
              </w:rPr>
              <w:t>下一级环境保护行政主管部门审查意见：</w:t>
            </w: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color w:val="FF0000"/>
              </w:rPr>
            </w:pPr>
          </w:p>
          <w:p>
            <w:pPr>
              <w:rPr>
                <w:rFonts w:ascii="Times New Roman" w:hAnsi="Times New Roman" w:cs="Times New Roman"/>
              </w:rPr>
            </w:pPr>
          </w:p>
          <w:p>
            <w:pPr>
              <w:rPr>
                <w:rFonts w:ascii="Times New Roman" w:hAnsi="Times New Roman" w:cs="Times New Roman"/>
              </w:rPr>
            </w:pPr>
          </w:p>
          <w:p>
            <w:pPr>
              <w:spacing w:line="480" w:lineRule="exact"/>
              <w:ind w:firstLine="6256" w:firstLineChars="2607"/>
              <w:rPr>
                <w:rFonts w:ascii="Times New Roman" w:hAnsi="Times New Roman" w:cs="Times New Roman"/>
                <w:sz w:val="24"/>
              </w:rPr>
            </w:pPr>
          </w:p>
          <w:p>
            <w:pPr>
              <w:spacing w:line="480" w:lineRule="exact"/>
              <w:ind w:firstLine="6256" w:firstLineChars="2607"/>
              <w:rPr>
                <w:rFonts w:ascii="Times New Roman" w:hAnsi="Times New Roman" w:cs="Times New Roman"/>
                <w:sz w:val="24"/>
              </w:rPr>
            </w:pPr>
          </w:p>
          <w:p>
            <w:pPr>
              <w:spacing w:line="480" w:lineRule="exact"/>
              <w:ind w:firstLine="6256" w:firstLineChars="2607"/>
              <w:rPr>
                <w:rFonts w:ascii="Times New Roman" w:hAnsi="Times New Roman" w:cs="Times New Roman"/>
                <w:sz w:val="24"/>
              </w:rPr>
            </w:pPr>
          </w:p>
          <w:p>
            <w:pPr>
              <w:spacing w:line="480" w:lineRule="exact"/>
              <w:ind w:firstLine="6256" w:firstLineChars="2607"/>
              <w:rPr>
                <w:rFonts w:ascii="Times New Roman" w:hAnsi="Times New Roman" w:cs="Times New Roman"/>
                <w:sz w:val="24"/>
              </w:rPr>
            </w:pPr>
          </w:p>
          <w:p>
            <w:pPr>
              <w:spacing w:line="480" w:lineRule="exact"/>
              <w:ind w:firstLine="6256" w:firstLineChars="2607"/>
              <w:rPr>
                <w:rFonts w:ascii="Times New Roman" w:hAnsi="Times New Roman" w:cs="Times New Roman"/>
                <w:sz w:val="24"/>
              </w:rPr>
            </w:pPr>
          </w:p>
          <w:p>
            <w:pPr>
              <w:spacing w:line="480" w:lineRule="exact"/>
              <w:ind w:firstLine="6256" w:firstLineChars="2607"/>
              <w:rPr>
                <w:rFonts w:ascii="Times New Roman" w:hAnsi="Times New Roman" w:cs="Times New Roman"/>
                <w:sz w:val="24"/>
              </w:rPr>
            </w:pPr>
            <w:r>
              <w:rPr>
                <w:rFonts w:ascii="Times New Roman" w:hAnsi="Times New Roman" w:cs="Times New Roman"/>
                <w:sz w:val="24"/>
              </w:rPr>
              <w:t>公    章</w:t>
            </w:r>
          </w:p>
          <w:p>
            <w:pPr>
              <w:spacing w:line="480" w:lineRule="exact"/>
              <w:ind w:firstLine="6256" w:firstLineChars="2607"/>
              <w:rPr>
                <w:rFonts w:ascii="Times New Roman" w:hAnsi="Times New Roman" w:cs="Times New Roman"/>
                <w:sz w:val="24"/>
              </w:rPr>
            </w:pPr>
          </w:p>
          <w:p>
            <w:pPr>
              <w:rPr>
                <w:rFonts w:ascii="Times New Roman" w:hAnsi="Times New Roman" w:cs="Times New Roman"/>
                <w:sz w:val="24"/>
              </w:rPr>
            </w:pPr>
            <w:r>
              <w:rPr>
                <w:rFonts w:ascii="Times New Roman" w:hAnsi="Times New Roman" w:cs="Times New Roman"/>
                <w:sz w:val="24"/>
              </w:rPr>
              <w:t>经办人：                                         年     月    日</w:t>
            </w:r>
          </w:p>
          <w:p>
            <w:pPr>
              <w:rPr>
                <w:rFonts w:ascii="Times New Roman" w:hAnsi="Times New Roman" w:cs="Times New Roman"/>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1" w:hRule="atLeast"/>
          <w:jc w:val="center"/>
        </w:trPr>
        <w:tc>
          <w:tcPr>
            <w:tcW w:w="8819" w:type="dxa"/>
          </w:tcPr>
          <w:p>
            <w:pPr>
              <w:spacing w:line="440" w:lineRule="exact"/>
              <w:jc w:val="left"/>
              <w:rPr>
                <w:rFonts w:ascii="Calibri" w:hAnsi="Calibri" w:cs="Times New Roman"/>
                <w:kern w:val="0"/>
                <w:sz w:val="24"/>
                <w:szCs w:val="20"/>
              </w:rPr>
            </w:pPr>
            <w:r>
              <w:rPr>
                <w:rFonts w:ascii="Calibri" w:hAnsi="Calibri" w:cs="Times New Roman"/>
                <w:kern w:val="0"/>
                <w:sz w:val="24"/>
                <w:szCs w:val="20"/>
              </w:rPr>
              <w:t>审批意见：</w:t>
            </w: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p>
          <w:p>
            <w:pPr>
              <w:spacing w:line="440" w:lineRule="exact"/>
              <w:jc w:val="left"/>
              <w:rPr>
                <w:rFonts w:ascii="Calibri" w:hAnsi="Calibri" w:cs="Times New Roman"/>
                <w:kern w:val="0"/>
                <w:sz w:val="24"/>
                <w:szCs w:val="20"/>
              </w:rPr>
            </w:pPr>
            <w:r>
              <w:rPr>
                <w:rFonts w:ascii="Calibri" w:hAnsi="Calibri" w:cs="Times New Roman"/>
                <w:kern w:val="0"/>
                <w:sz w:val="24"/>
                <w:szCs w:val="20"/>
              </w:rPr>
              <w:t>公   章</w:t>
            </w:r>
          </w:p>
          <w:p>
            <w:pPr>
              <w:rPr>
                <w:rFonts w:ascii="Times New Roman" w:hAnsi="Times New Roman" w:cs="Times New Roman"/>
                <w:color w:val="FF0000"/>
              </w:rPr>
            </w:pPr>
            <w:r>
              <w:rPr>
                <w:rFonts w:ascii="Calibri" w:hAnsi="Calibri" w:cs="Times New Roman"/>
                <w:kern w:val="0"/>
                <w:sz w:val="24"/>
                <w:szCs w:val="20"/>
              </w:rPr>
              <w:t>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1" w:hRule="atLeast"/>
          <w:jc w:val="center"/>
        </w:trPr>
        <w:tc>
          <w:tcPr>
            <w:tcW w:w="8819" w:type="dxa"/>
          </w:tcPr>
          <w:p>
            <w:pPr>
              <w:rPr>
                <w:b/>
                <w:bCs/>
              </w:rPr>
            </w:pPr>
          </w:p>
          <w:p>
            <w:pPr>
              <w:rPr>
                <w:b/>
                <w:bCs/>
              </w:rPr>
            </w:pPr>
          </w:p>
          <w:p>
            <w:pPr>
              <w:rPr>
                <w:b/>
                <w:bCs/>
              </w:rPr>
            </w:pPr>
          </w:p>
          <w:p>
            <w:pPr>
              <w:jc w:val="center"/>
              <w:rPr>
                <w:b/>
                <w:bCs/>
              </w:rPr>
            </w:pPr>
            <w:r>
              <w:rPr>
                <w:rFonts w:hint="eastAsia"/>
                <w:b/>
                <w:bCs/>
              </w:rPr>
              <w:t>注      释</w:t>
            </w:r>
          </w:p>
          <w:p>
            <w:pPr>
              <w:rPr>
                <w:rFonts w:ascii="Times New Roman" w:hAnsi="Times New Roman" w:cs="Times New Roman"/>
                <w:kern w:val="0"/>
                <w:sz w:val="24"/>
                <w:szCs w:val="20"/>
              </w:rPr>
            </w:pPr>
          </w:p>
          <w:p>
            <w:pPr>
              <w:rPr>
                <w:rFonts w:ascii="Times New Roman" w:hAnsi="Times New Roman" w:cs="Times New Roman"/>
                <w:kern w:val="0"/>
                <w:sz w:val="24"/>
                <w:szCs w:val="20"/>
              </w:rPr>
            </w:pPr>
          </w:p>
          <w:p>
            <w:pPr>
              <w:rPr>
                <w:rFonts w:ascii="Times New Roman" w:hAnsi="Times New Roman" w:cs="Times New Roman"/>
                <w:kern w:val="0"/>
                <w:sz w:val="24"/>
                <w:szCs w:val="20"/>
              </w:rPr>
            </w:pPr>
            <w:r>
              <w:rPr>
                <w:rFonts w:hint="eastAsia" w:ascii="Times New Roman" w:hAnsi="Times New Roman" w:cs="Times New Roman"/>
                <w:kern w:val="0"/>
                <w:sz w:val="24"/>
                <w:szCs w:val="20"/>
              </w:rPr>
              <w:t>一、本项目应附以下附件、附图、附表</w:t>
            </w:r>
          </w:p>
          <w:p>
            <w:pPr>
              <w:rPr>
                <w:rFonts w:ascii="Times New Roman" w:hAnsi="Times New Roman" w:cs="Times New Roman"/>
                <w:kern w:val="0"/>
                <w:sz w:val="24"/>
                <w:szCs w:val="20"/>
              </w:rPr>
            </w:pPr>
            <w:r>
              <w:rPr>
                <w:rFonts w:ascii="Times New Roman" w:hAnsi="Times New Roman" w:cs="Times New Roman"/>
                <w:kern w:val="0"/>
                <w:sz w:val="24"/>
                <w:szCs w:val="20"/>
              </w:rPr>
              <w:t>附件1 环境影响评价委托书</w:t>
            </w:r>
          </w:p>
          <w:p>
            <w:pPr>
              <w:rPr>
                <w:rFonts w:ascii="Times New Roman" w:hAnsi="Times New Roman" w:cs="Times New Roman"/>
                <w:kern w:val="0"/>
                <w:sz w:val="24"/>
                <w:szCs w:val="20"/>
              </w:rPr>
            </w:pPr>
            <w:r>
              <w:rPr>
                <w:rFonts w:ascii="Times New Roman" w:hAnsi="Times New Roman" w:cs="Times New Roman"/>
                <w:kern w:val="0"/>
                <w:sz w:val="24"/>
                <w:szCs w:val="20"/>
              </w:rPr>
              <w:t>附件2 项目备案证明</w:t>
            </w:r>
          </w:p>
          <w:p>
            <w:pPr>
              <w:rPr>
                <w:rFonts w:ascii="Times New Roman" w:hAnsi="Times New Roman" w:cs="Times New Roman"/>
                <w:kern w:val="0"/>
                <w:sz w:val="24"/>
                <w:szCs w:val="20"/>
              </w:rPr>
            </w:pPr>
            <w:r>
              <w:rPr>
                <w:rFonts w:ascii="Times New Roman" w:hAnsi="Times New Roman" w:cs="Times New Roman"/>
                <w:kern w:val="0"/>
                <w:sz w:val="24"/>
                <w:szCs w:val="20"/>
              </w:rPr>
              <w:t xml:space="preserve">附件3 土地登记证 </w:t>
            </w:r>
          </w:p>
          <w:p>
            <w:pPr>
              <w:rPr>
                <w:rFonts w:ascii="Times New Roman" w:hAnsi="Times New Roman" w:cs="Times New Roman"/>
                <w:kern w:val="0"/>
                <w:sz w:val="24"/>
                <w:szCs w:val="20"/>
              </w:rPr>
            </w:pPr>
            <w:r>
              <w:rPr>
                <w:rFonts w:ascii="Times New Roman" w:hAnsi="Times New Roman" w:cs="Times New Roman"/>
                <w:kern w:val="0"/>
                <w:sz w:val="24"/>
                <w:szCs w:val="20"/>
              </w:rPr>
              <w:t xml:space="preserve">附件4 原有项目“年产油脂设备5套项目”环境影响评价批复和验收批复 </w:t>
            </w:r>
          </w:p>
          <w:p>
            <w:pPr>
              <w:rPr>
                <w:rFonts w:ascii="Times New Roman" w:hAnsi="Times New Roman" w:cs="Times New Roman"/>
                <w:kern w:val="0"/>
                <w:sz w:val="24"/>
                <w:szCs w:val="20"/>
              </w:rPr>
            </w:pPr>
            <w:r>
              <w:rPr>
                <w:rFonts w:ascii="Times New Roman" w:hAnsi="Times New Roman" w:cs="Times New Roman"/>
                <w:kern w:val="0"/>
                <w:sz w:val="24"/>
                <w:szCs w:val="20"/>
              </w:rPr>
              <w:t xml:space="preserve">附件5 监测报告 </w:t>
            </w:r>
          </w:p>
          <w:p>
            <w:pPr>
              <w:rPr>
                <w:rFonts w:ascii="Times New Roman" w:hAnsi="Times New Roman" w:cs="Times New Roman"/>
                <w:kern w:val="0"/>
                <w:sz w:val="24"/>
                <w:szCs w:val="20"/>
              </w:rPr>
            </w:pPr>
            <w:r>
              <w:rPr>
                <w:rFonts w:ascii="Times New Roman" w:hAnsi="Times New Roman" w:cs="Times New Roman"/>
                <w:kern w:val="0"/>
                <w:sz w:val="24"/>
                <w:szCs w:val="20"/>
              </w:rPr>
              <w:t xml:space="preserve">附图1 项目所在地地理位置图 </w:t>
            </w:r>
          </w:p>
          <w:p>
            <w:pPr>
              <w:rPr>
                <w:rFonts w:ascii="Times New Roman" w:hAnsi="Times New Roman" w:cs="Times New Roman"/>
                <w:kern w:val="0"/>
                <w:sz w:val="24"/>
                <w:szCs w:val="20"/>
              </w:rPr>
            </w:pPr>
            <w:r>
              <w:rPr>
                <w:rFonts w:ascii="Times New Roman" w:hAnsi="Times New Roman" w:cs="Times New Roman"/>
                <w:kern w:val="0"/>
                <w:sz w:val="24"/>
                <w:szCs w:val="20"/>
              </w:rPr>
              <w:t xml:space="preserve">附图2 项目所在地区域规划图 </w:t>
            </w:r>
          </w:p>
          <w:p>
            <w:pPr>
              <w:rPr>
                <w:rFonts w:ascii="Times New Roman" w:hAnsi="Times New Roman" w:cs="Times New Roman"/>
                <w:kern w:val="0"/>
                <w:sz w:val="24"/>
                <w:szCs w:val="20"/>
              </w:rPr>
            </w:pPr>
            <w:r>
              <w:rPr>
                <w:rFonts w:ascii="Times New Roman" w:hAnsi="Times New Roman" w:cs="Times New Roman"/>
                <w:kern w:val="0"/>
                <w:sz w:val="24"/>
                <w:szCs w:val="20"/>
              </w:rPr>
              <w:t xml:space="preserve">附图3 项目平面布置图 </w:t>
            </w:r>
          </w:p>
          <w:p>
            <w:pPr>
              <w:rPr>
                <w:rFonts w:ascii="Times New Roman" w:hAnsi="Times New Roman" w:cs="Times New Roman"/>
                <w:kern w:val="0"/>
                <w:sz w:val="24"/>
                <w:szCs w:val="20"/>
              </w:rPr>
            </w:pPr>
            <w:r>
              <w:rPr>
                <w:rFonts w:ascii="Times New Roman" w:hAnsi="Times New Roman" w:cs="Times New Roman"/>
                <w:kern w:val="0"/>
                <w:sz w:val="24"/>
                <w:szCs w:val="20"/>
              </w:rPr>
              <w:t xml:space="preserve">附图4 项目周边环境示意图 </w:t>
            </w:r>
          </w:p>
          <w:p>
            <w:pPr>
              <w:rPr>
                <w:rFonts w:ascii="Times New Roman" w:hAnsi="Times New Roman" w:cs="Times New Roman"/>
                <w:kern w:val="0"/>
                <w:sz w:val="24"/>
                <w:szCs w:val="20"/>
              </w:rPr>
            </w:pPr>
            <w:r>
              <w:rPr>
                <w:rFonts w:ascii="Times New Roman" w:hAnsi="Times New Roman" w:cs="Times New Roman"/>
                <w:kern w:val="0"/>
                <w:sz w:val="24"/>
                <w:szCs w:val="20"/>
              </w:rPr>
              <w:t xml:space="preserve">附表1 大气环境影响评价自查表 </w:t>
            </w:r>
          </w:p>
          <w:p>
            <w:pPr>
              <w:rPr>
                <w:rFonts w:ascii="Times New Roman" w:hAnsi="Times New Roman" w:cs="Times New Roman"/>
                <w:kern w:val="0"/>
                <w:sz w:val="24"/>
                <w:szCs w:val="20"/>
              </w:rPr>
            </w:pPr>
            <w:r>
              <w:rPr>
                <w:rFonts w:ascii="Times New Roman" w:hAnsi="Times New Roman" w:cs="Times New Roman"/>
                <w:kern w:val="0"/>
                <w:sz w:val="24"/>
                <w:szCs w:val="20"/>
              </w:rPr>
              <w:t xml:space="preserve">附表2 地表水环境影响评价自查表 </w:t>
            </w:r>
          </w:p>
          <w:p>
            <w:pPr>
              <w:rPr>
                <w:rFonts w:ascii="Times New Roman" w:hAnsi="Times New Roman" w:cs="Times New Roman"/>
                <w:kern w:val="0"/>
                <w:sz w:val="24"/>
                <w:szCs w:val="20"/>
              </w:rPr>
            </w:pPr>
            <w:r>
              <w:rPr>
                <w:rFonts w:ascii="Times New Roman" w:hAnsi="Times New Roman" w:cs="Times New Roman"/>
                <w:kern w:val="0"/>
                <w:sz w:val="24"/>
                <w:szCs w:val="20"/>
              </w:rPr>
              <w:t>附表3 建设项目环评审批基础信息表</w:t>
            </w:r>
          </w:p>
          <w:p>
            <w:pPr>
              <w:rPr>
                <w:rFonts w:ascii="Times New Roman" w:hAnsi="Times New Roman" w:cs="Times New Roman"/>
                <w:kern w:val="0"/>
                <w:sz w:val="24"/>
                <w:szCs w:val="20"/>
              </w:rPr>
            </w:pPr>
          </w:p>
          <w:p>
            <w:pPr>
              <w:rPr>
                <w:rFonts w:ascii="Times New Roman" w:hAnsi="Times New Roman" w:cs="Times New Roman"/>
                <w:kern w:val="0"/>
                <w:sz w:val="24"/>
                <w:szCs w:val="20"/>
              </w:rPr>
            </w:pPr>
            <w:r>
              <w:rPr>
                <w:rFonts w:hint="eastAsia" w:ascii="Times New Roman" w:hAnsi="Times New Roman" w:cs="Times New Roman"/>
                <w:kern w:val="0"/>
                <w:sz w:val="24"/>
                <w:szCs w:val="20"/>
              </w:rPr>
              <w:t>二、如果本报告表不能说明环境产生的污染及对环境造成的影响，应进行专项评价。根据建设项目的特点和当地环境特征，选取1-2项进行专项评价。</w:t>
            </w:r>
          </w:p>
          <w:p>
            <w:pPr>
              <w:rPr>
                <w:rFonts w:ascii="Times New Roman" w:hAnsi="Times New Roman" w:cs="Times New Roman"/>
                <w:kern w:val="0"/>
                <w:sz w:val="24"/>
                <w:szCs w:val="20"/>
              </w:rPr>
            </w:pPr>
            <w:r>
              <w:rPr>
                <w:rFonts w:hint="eastAsia" w:ascii="Times New Roman" w:hAnsi="Times New Roman" w:cs="Times New Roman"/>
                <w:kern w:val="0"/>
                <w:sz w:val="24"/>
                <w:szCs w:val="20"/>
              </w:rPr>
              <w:t>1 大气环境影响专项评价</w:t>
            </w:r>
          </w:p>
          <w:p>
            <w:pPr>
              <w:rPr>
                <w:rFonts w:ascii="Times New Roman" w:hAnsi="Times New Roman" w:cs="Times New Roman"/>
                <w:kern w:val="0"/>
                <w:sz w:val="24"/>
                <w:szCs w:val="20"/>
              </w:rPr>
            </w:pPr>
            <w:r>
              <w:rPr>
                <w:rFonts w:hint="eastAsia" w:ascii="Times New Roman" w:hAnsi="Times New Roman" w:cs="Times New Roman"/>
                <w:kern w:val="0"/>
                <w:sz w:val="24"/>
                <w:szCs w:val="20"/>
              </w:rPr>
              <w:t>2 水环境影响专项评价</w:t>
            </w:r>
          </w:p>
          <w:p>
            <w:pPr>
              <w:rPr>
                <w:rFonts w:ascii="Times New Roman" w:hAnsi="Times New Roman" w:cs="Times New Roman"/>
                <w:kern w:val="0"/>
                <w:sz w:val="24"/>
                <w:szCs w:val="20"/>
              </w:rPr>
            </w:pPr>
            <w:r>
              <w:rPr>
                <w:rFonts w:hint="eastAsia" w:ascii="Times New Roman" w:hAnsi="Times New Roman" w:cs="Times New Roman"/>
                <w:kern w:val="0"/>
                <w:sz w:val="24"/>
                <w:szCs w:val="20"/>
              </w:rPr>
              <w:t>3 声环境影响专项评价</w:t>
            </w:r>
          </w:p>
          <w:p>
            <w:pPr>
              <w:rPr>
                <w:rFonts w:ascii="Times New Roman" w:hAnsi="Times New Roman" w:cs="Times New Roman"/>
                <w:kern w:val="0"/>
                <w:sz w:val="24"/>
                <w:szCs w:val="20"/>
              </w:rPr>
            </w:pPr>
            <w:r>
              <w:rPr>
                <w:rFonts w:hint="eastAsia" w:ascii="Times New Roman" w:hAnsi="Times New Roman" w:cs="Times New Roman"/>
                <w:kern w:val="0"/>
                <w:sz w:val="24"/>
                <w:szCs w:val="20"/>
              </w:rPr>
              <w:t>4 土壤环境影响专项评价</w:t>
            </w:r>
          </w:p>
          <w:p>
            <w:pPr>
              <w:rPr>
                <w:rFonts w:ascii="Times New Roman" w:hAnsi="Times New Roman" w:cs="Times New Roman"/>
                <w:kern w:val="0"/>
                <w:sz w:val="24"/>
                <w:szCs w:val="20"/>
              </w:rPr>
            </w:pPr>
            <w:r>
              <w:rPr>
                <w:rFonts w:hint="eastAsia" w:ascii="Times New Roman" w:hAnsi="Times New Roman" w:cs="Times New Roman"/>
                <w:kern w:val="0"/>
                <w:sz w:val="24"/>
                <w:szCs w:val="20"/>
              </w:rPr>
              <w:t>5 生态环境影响专项评价</w:t>
            </w:r>
          </w:p>
          <w:p>
            <w:pPr>
              <w:rPr>
                <w:rFonts w:ascii="Times New Roman" w:hAnsi="Times New Roman" w:cs="Times New Roman"/>
                <w:kern w:val="0"/>
                <w:sz w:val="24"/>
                <w:szCs w:val="20"/>
              </w:rPr>
            </w:pPr>
            <w:r>
              <w:rPr>
                <w:rFonts w:hint="eastAsia" w:ascii="Times New Roman" w:hAnsi="Times New Roman" w:cs="Times New Roman"/>
                <w:kern w:val="0"/>
                <w:sz w:val="24"/>
                <w:szCs w:val="20"/>
              </w:rPr>
              <w:t>6 固体废物影响专项评价</w:t>
            </w:r>
          </w:p>
          <w:p>
            <w:pPr>
              <w:ind w:firstLine="480" w:firstLineChars="200"/>
              <w:rPr>
                <w:rFonts w:ascii="Times New Roman" w:hAnsi="Times New Roman" w:cs="Times New Roman"/>
                <w:kern w:val="0"/>
                <w:sz w:val="24"/>
                <w:szCs w:val="20"/>
              </w:rPr>
            </w:pPr>
            <w:r>
              <w:rPr>
                <w:rFonts w:hint="eastAsia" w:ascii="Times New Roman" w:hAnsi="Times New Roman" w:cs="Times New Roman"/>
                <w:kern w:val="0"/>
                <w:sz w:val="24"/>
                <w:szCs w:val="20"/>
              </w:rPr>
              <w:t>以上专项评价未包括的可另行转型，专项评价按照《环境影响评价技术导则》中的要求进行。</w:t>
            </w:r>
          </w:p>
          <w:p>
            <w:pPr>
              <w:rPr>
                <w:rFonts w:ascii="Times New Roman" w:hAnsi="Times New Roman" w:cs="Times New Roman"/>
                <w:kern w:val="0"/>
                <w:sz w:val="24"/>
                <w:szCs w:val="20"/>
              </w:rPr>
            </w:pPr>
          </w:p>
          <w:p>
            <w:pPr>
              <w:rPr>
                <w:rFonts w:ascii="Times New Roman" w:hAnsi="Times New Roman" w:cs="Times New Roman"/>
                <w:kern w:val="0"/>
                <w:sz w:val="24"/>
                <w:szCs w:val="20"/>
              </w:rPr>
            </w:pPr>
          </w:p>
        </w:tc>
      </w:tr>
    </w:tbl>
    <w:p>
      <w:pPr>
        <w:rPr>
          <w:rFonts w:ascii="Times New Roman" w:hAnsi="Times New Roman" w:cs="Times New Roman"/>
          <w:sz w:val="28"/>
          <w:szCs w:val="28"/>
        </w:rPr>
      </w:pPr>
      <w:r>
        <w:rPr>
          <w:rFonts w:ascii="Times New Roman" w:hAnsi="Times New Roman" w:cs="Times New Roman"/>
          <w:sz w:val="28"/>
          <w:szCs w:val="28"/>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16" name="图片 16" descr="环评报告盖章扫描件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环评报告盖章扫描件_页面_06"/>
                    <pic:cNvPicPr>
                      <a:picLocks noChangeAspect="1"/>
                    </pic:cNvPicPr>
                  </pic:nvPicPr>
                  <pic:blipFill>
                    <a:blip r:embed="rId15"/>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17" name="图片 17" descr="环评报告盖章扫描件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环评报告盖章扫描件_页面_07"/>
                    <pic:cNvPicPr>
                      <a:picLocks noChangeAspect="1"/>
                    </pic:cNvPicPr>
                  </pic:nvPicPr>
                  <pic:blipFill>
                    <a:blip r:embed="rId16"/>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18" name="图片 18" descr="环评报告盖章扫描件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环评报告盖章扫描件_页面_08"/>
                    <pic:cNvPicPr>
                      <a:picLocks noChangeAspect="1"/>
                    </pic:cNvPicPr>
                  </pic:nvPicPr>
                  <pic:blipFill>
                    <a:blip r:embed="rId17"/>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20" name="图片 20" descr="环评报告盖章扫描件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环评报告盖章扫描件_页面_09"/>
                    <pic:cNvPicPr>
                      <a:picLocks noChangeAspect="1"/>
                    </pic:cNvPicPr>
                  </pic:nvPicPr>
                  <pic:blipFill>
                    <a:blip r:embed="rId18"/>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21" name="图片 21" descr="环评报告盖章扫描件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环评报告盖章扫描件_页面_10"/>
                    <pic:cNvPicPr>
                      <a:picLocks noChangeAspect="1"/>
                    </pic:cNvPicPr>
                  </pic:nvPicPr>
                  <pic:blipFill>
                    <a:blip r:embed="rId19"/>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038090" cy="7125970"/>
            <wp:effectExtent l="0" t="0" r="3810" b="11430"/>
            <wp:docPr id="32" name="图片 32" descr="DTTHJ202003023-新乡市红阳油脂工程技术有限公司3份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TTHJ202003023-新乡市红阳油脂工程技术有限公司3份_页面_1"/>
                    <pic:cNvPicPr>
                      <a:picLocks noChangeAspect="1"/>
                    </pic:cNvPicPr>
                  </pic:nvPicPr>
                  <pic:blipFill>
                    <a:blip r:embed="rId20"/>
                    <a:stretch>
                      <a:fillRect/>
                    </a:stretch>
                  </pic:blipFill>
                  <pic:spPr>
                    <a:xfrm>
                      <a:off x="0" y="0"/>
                      <a:ext cx="5038090" cy="712597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038090" cy="7125970"/>
            <wp:effectExtent l="0" t="0" r="3810" b="11430"/>
            <wp:docPr id="33" name="图片 33" descr="DTTHJ202003023-新乡市红阳油脂工程技术有限公司3份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TTHJ202003023-新乡市红阳油脂工程技术有限公司3份_页面_2"/>
                    <pic:cNvPicPr>
                      <a:picLocks noChangeAspect="1"/>
                    </pic:cNvPicPr>
                  </pic:nvPicPr>
                  <pic:blipFill>
                    <a:blip r:embed="rId21"/>
                    <a:stretch>
                      <a:fillRect/>
                    </a:stretch>
                  </pic:blipFill>
                  <pic:spPr>
                    <a:xfrm>
                      <a:off x="0" y="0"/>
                      <a:ext cx="5038090" cy="712597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038090" cy="7125970"/>
            <wp:effectExtent l="0" t="0" r="3810" b="11430"/>
            <wp:docPr id="34" name="图片 34" descr="DTTHJ202003023-新乡市红阳油脂工程技术有限公司3份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TTHJ202003023-新乡市红阳油脂工程技术有限公司3份_页面_3"/>
                    <pic:cNvPicPr>
                      <a:picLocks noChangeAspect="1"/>
                    </pic:cNvPicPr>
                  </pic:nvPicPr>
                  <pic:blipFill>
                    <a:blip r:embed="rId22"/>
                    <a:stretch>
                      <a:fillRect/>
                    </a:stretch>
                  </pic:blipFill>
                  <pic:spPr>
                    <a:xfrm>
                      <a:off x="0" y="0"/>
                      <a:ext cx="5038090" cy="712597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038090" cy="7125970"/>
            <wp:effectExtent l="0" t="0" r="3810" b="11430"/>
            <wp:docPr id="35" name="图片 35" descr="DTTHJ202003023-新乡市红阳油脂工程技术有限公司3份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TTHJ202003023-新乡市红阳油脂工程技术有限公司3份_页面_4"/>
                    <pic:cNvPicPr>
                      <a:picLocks noChangeAspect="1"/>
                    </pic:cNvPicPr>
                  </pic:nvPicPr>
                  <pic:blipFill>
                    <a:blip r:embed="rId23"/>
                    <a:stretch>
                      <a:fillRect/>
                    </a:stretch>
                  </pic:blipFill>
                  <pic:spPr>
                    <a:xfrm>
                      <a:off x="0" y="0"/>
                      <a:ext cx="5038090" cy="712597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rPr>
          <w:rFonts w:hint="eastAsia" w:ascii="Times New Roman" w:hAnsi="Times New Roman" w:eastAsia="宋体" w:cs="Times New Roman"/>
          <w:sz w:val="28"/>
          <w:szCs w:val="28"/>
          <w:lang w:eastAsia="zh-CN"/>
        </w:rPr>
      </w:pP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22" name="图片 22" descr="环评报告盖章扫描件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环评报告盖章扫描件_页面_11"/>
                    <pic:cNvPicPr>
                      <a:picLocks noChangeAspect="1"/>
                    </pic:cNvPicPr>
                  </pic:nvPicPr>
                  <pic:blipFill>
                    <a:blip r:embed="rId24"/>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23" name="图片 23" descr="环评报告盖章扫描件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环评报告盖章扫描件_页面_12"/>
                    <pic:cNvPicPr>
                      <a:picLocks noChangeAspect="1"/>
                    </pic:cNvPicPr>
                  </pic:nvPicPr>
                  <pic:blipFill>
                    <a:blip r:embed="rId25"/>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24" name="图片 24" descr="环评报告盖章扫描件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环评报告盖章扫描件_页面_13"/>
                    <pic:cNvPicPr>
                      <a:picLocks noChangeAspect="1"/>
                    </pic:cNvPicPr>
                  </pic:nvPicPr>
                  <pic:blipFill>
                    <a:blip r:embed="rId26"/>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25" name="图片 25" descr="环评报告盖章扫描件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环评报告盖章扫描件_页面_14"/>
                    <pic:cNvPicPr>
                      <a:picLocks noChangeAspect="1"/>
                    </pic:cNvPicPr>
                  </pic:nvPicPr>
                  <pic:blipFill>
                    <a:blip r:embed="rId27"/>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26" name="图片 26" descr="环评报告盖章扫描件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环评报告盖章扫描件_页面_15"/>
                    <pic:cNvPicPr>
                      <a:picLocks noChangeAspect="1"/>
                    </pic:cNvPicPr>
                  </pic:nvPicPr>
                  <pic:blipFill>
                    <a:blip r:embed="rId28"/>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27" name="图片 27" descr="环评报告盖章扫描件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环评报告盖章扫描件_页面_16"/>
                    <pic:cNvPicPr>
                      <a:picLocks noChangeAspect="1"/>
                    </pic:cNvPicPr>
                  </pic:nvPicPr>
                  <pic:blipFill>
                    <a:blip r:embed="rId29"/>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28" name="图片 28" descr="环评报告盖章扫描件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环评报告盖章扫描件_页面_17"/>
                    <pic:cNvPicPr>
                      <a:picLocks noChangeAspect="1"/>
                    </pic:cNvPicPr>
                  </pic:nvPicPr>
                  <pic:blipFill>
                    <a:blip r:embed="rId30"/>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29" name="图片 29" descr="环评报告盖章扫描件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环评报告盖章扫描件_页面_18"/>
                    <pic:cNvPicPr>
                      <a:picLocks noChangeAspect="1"/>
                    </pic:cNvPicPr>
                  </pic:nvPicPr>
                  <pic:blipFill>
                    <a:blip r:embed="rId31"/>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30" name="图片 30" descr="环评报告盖章扫描件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环评报告盖章扫描件_页面_19"/>
                    <pic:cNvPicPr>
                      <a:picLocks noChangeAspect="1"/>
                    </pic:cNvPicPr>
                  </pic:nvPicPr>
                  <pic:blipFill>
                    <a:blip r:embed="rId32"/>
                    <a:stretch>
                      <a:fillRect/>
                    </a:stretch>
                  </pic:blipFill>
                  <pic:spPr>
                    <a:xfrm>
                      <a:off x="0" y="0"/>
                      <a:ext cx="5444490" cy="7696200"/>
                    </a:xfrm>
                    <a:prstGeom prst="rect">
                      <a:avLst/>
                    </a:prstGeom>
                  </pic:spPr>
                </pic:pic>
              </a:graphicData>
            </a:graphic>
          </wp:inline>
        </w:drawing>
      </w:r>
    </w:p>
    <w:p>
      <w:pPr>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br w:type="page"/>
      </w:r>
    </w:p>
    <w:p>
      <w:pPr>
        <w:pStyle w:val="15"/>
        <w:snapToGrid w:val="0"/>
        <w:spacing w:line="360" w:lineRule="auto"/>
        <w:ind w:left="0" w:right="-510" w:firstLine="0"/>
        <w:outlineLvl w:val="0"/>
        <w:rPr>
          <w:rFonts w:hint="eastAsia" w:ascii="Times New Roman" w:hAnsi="Times New Roman" w:eastAsia="宋体" w:cs="Times New Roman"/>
          <w:sz w:val="28"/>
          <w:szCs w:val="28"/>
          <w:lang w:eastAsia="zh-CN"/>
        </w:rPr>
      </w:pPr>
      <w:r>
        <w:rPr>
          <w:rFonts w:hint="eastAsia" w:ascii="Times New Roman" w:hAnsi="Times New Roman" w:eastAsia="宋体" w:cs="Times New Roman"/>
          <w:sz w:val="28"/>
          <w:szCs w:val="28"/>
          <w:lang w:eastAsia="zh-CN"/>
        </w:rPr>
        <w:drawing>
          <wp:inline distT="0" distB="0" distL="114300" distR="114300">
            <wp:extent cx="5444490" cy="7696200"/>
            <wp:effectExtent l="0" t="0" r="3810" b="0"/>
            <wp:docPr id="31" name="图片 31" descr="环评报告盖章扫描件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环评报告盖章扫描件_页面_20"/>
                    <pic:cNvPicPr>
                      <a:picLocks noChangeAspect="1"/>
                    </pic:cNvPicPr>
                  </pic:nvPicPr>
                  <pic:blipFill>
                    <a:blip r:embed="rId33"/>
                    <a:stretch>
                      <a:fillRect/>
                    </a:stretch>
                  </pic:blipFill>
                  <pic:spPr>
                    <a:xfrm>
                      <a:off x="0" y="0"/>
                      <a:ext cx="5444490" cy="7696200"/>
                    </a:xfrm>
                    <a:prstGeom prst="rect">
                      <a:avLst/>
                    </a:prstGeom>
                  </pic:spPr>
                </pic:pic>
              </a:graphicData>
            </a:graphic>
          </wp:inline>
        </w:drawing>
      </w:r>
    </w:p>
    <w:sectPr>
      <w:pgSz w:w="11906" w:h="16838"/>
      <w:pgMar w:top="1440" w:right="1800" w:bottom="1440" w:left="1520" w:header="851" w:footer="992" w:gutter="0"/>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楷体_GB2312">
    <w:panose1 w:val="02010609030101010101"/>
    <w:charset w:val="86"/>
    <w:family w:val="auto"/>
    <w:pitch w:val="default"/>
    <w:sig w:usb0="00000001" w:usb1="080E0000" w:usb2="00000000" w:usb3="00000000" w:csb0="00040000" w:csb1="00000000"/>
  </w:font>
  <w:font w:name="Symbol Tiger Expert">
    <w:altName w:val="Symbol"/>
    <w:panose1 w:val="00000000000000000000"/>
    <w:charset w:val="02"/>
    <w:family w:val="roman"/>
    <w:pitch w:val="default"/>
    <w:sig w:usb0="00000000" w:usb1="00000000" w:usb2="00000000" w:usb3="00000000" w:csb0="80000000" w:csb1="00000000"/>
  </w:font>
  <w:font w:name="Wingdings 2">
    <w:panose1 w:val="05020102010507070707"/>
    <w:charset w:val="02"/>
    <w:family w:val="decorative"/>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kO9MQAgAACQQAAA4AAABkcnMvZTJvRG9jLnhtbK1TzY7TMBC+I/EO&#10;lu80aRGrUj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Z5DvTEAIAAAkEAAAOAAAAAAAAAAEAIAAA&#10;AB8BAABkcnMvZTJvRG9jLnhtbFBLBQYAAAAABgAGAFkBAAChBQAAAAA=&#10;">
              <v:fill on="f" focussize="0,0"/>
              <v:stroke on="f" weight="0.5pt"/>
              <v:imagedata o:title=""/>
              <o:lock v:ext="edit" aspectratio="f"/>
              <v:textbox inset="0mm,0mm,0mm,0mm" style="mso-fit-shape-to-text:t;">
                <w:txbxContent>
                  <w:p>
                    <w:pPr>
                      <w:pStyle w:val="19"/>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02F544"/>
    <w:multiLevelType w:val="multilevel"/>
    <w:tmpl w:val="9C02F544"/>
    <w:lvl w:ilvl="0" w:tentative="0">
      <w:start w:val="1"/>
      <w:numFmt w:val="decimal"/>
      <w:pStyle w:val="21"/>
      <w:lvlText w:val="表%1"/>
      <w:lvlJc w:val="center"/>
      <w:pPr>
        <w:tabs>
          <w:tab w:val="left" w:pos="1470"/>
        </w:tabs>
        <w:ind w:left="0" w:firstLine="0"/>
      </w:pPr>
      <w:rPr>
        <w:rFonts w:hint="default" w:ascii="Times New Roman" w:hAnsi="Times New Roman" w:eastAsia="黑体" w:cs="宋体"/>
        <w:b w:val="0"/>
        <w:i w:val="0"/>
        <w:color w:val="000000"/>
        <w:sz w:val="21"/>
        <w:szCs w:val="21"/>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A006A6F0"/>
    <w:multiLevelType w:val="singleLevel"/>
    <w:tmpl w:val="A006A6F0"/>
    <w:lvl w:ilvl="0" w:tentative="0">
      <w:start w:val="1"/>
      <w:numFmt w:val="decimal"/>
      <w:suff w:val="nothing"/>
      <w:lvlText w:val="（%1）"/>
      <w:lvlJc w:val="left"/>
    </w:lvl>
  </w:abstractNum>
  <w:abstractNum w:abstractNumId="2">
    <w:nsid w:val="40BEEEC7"/>
    <w:multiLevelType w:val="singleLevel"/>
    <w:tmpl w:val="40BEEEC7"/>
    <w:lvl w:ilvl="0" w:tentative="0">
      <w:start w:val="1"/>
      <w:numFmt w:val="decimal"/>
      <w:suff w:val="nothing"/>
      <w:lvlText w:val="%1、"/>
      <w:lvlJc w:val="left"/>
    </w:lvl>
  </w:abstractNum>
  <w:abstractNum w:abstractNumId="3">
    <w:nsid w:val="7A1B929E"/>
    <w:multiLevelType w:val="singleLevel"/>
    <w:tmpl w:val="7A1B929E"/>
    <w:lvl w:ilvl="0" w:tentative="0">
      <w:start w:val="16"/>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hideSpellingErrors/>
  <w:documentProtection w:enforcement="0"/>
  <w:defaultTabStop w:val="420"/>
  <w:drawingGridHorizontalSpacing w:val="140"/>
  <w:drawingGridVerticalSpacing w:val="38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9E"/>
    <w:rsid w:val="000008D4"/>
    <w:rsid w:val="000048B1"/>
    <w:rsid w:val="00004BE2"/>
    <w:rsid w:val="00004EA2"/>
    <w:rsid w:val="00005494"/>
    <w:rsid w:val="00005697"/>
    <w:rsid w:val="000064F8"/>
    <w:rsid w:val="000064F9"/>
    <w:rsid w:val="0000789B"/>
    <w:rsid w:val="00010157"/>
    <w:rsid w:val="000102B9"/>
    <w:rsid w:val="00011290"/>
    <w:rsid w:val="00011468"/>
    <w:rsid w:val="00011627"/>
    <w:rsid w:val="00011F87"/>
    <w:rsid w:val="000125E9"/>
    <w:rsid w:val="00013611"/>
    <w:rsid w:val="00013B42"/>
    <w:rsid w:val="000147A6"/>
    <w:rsid w:val="0001514C"/>
    <w:rsid w:val="00015A9C"/>
    <w:rsid w:val="00016F78"/>
    <w:rsid w:val="00016FAB"/>
    <w:rsid w:val="00017B52"/>
    <w:rsid w:val="0002028B"/>
    <w:rsid w:val="000219A7"/>
    <w:rsid w:val="00021CA8"/>
    <w:rsid w:val="00022200"/>
    <w:rsid w:val="00023725"/>
    <w:rsid w:val="00023A16"/>
    <w:rsid w:val="0002452E"/>
    <w:rsid w:val="00024AB4"/>
    <w:rsid w:val="000252F9"/>
    <w:rsid w:val="0002588D"/>
    <w:rsid w:val="00025ADE"/>
    <w:rsid w:val="00026699"/>
    <w:rsid w:val="00027B15"/>
    <w:rsid w:val="00030FF6"/>
    <w:rsid w:val="0003129B"/>
    <w:rsid w:val="00031CCF"/>
    <w:rsid w:val="00032334"/>
    <w:rsid w:val="00032681"/>
    <w:rsid w:val="0003276C"/>
    <w:rsid w:val="000335F8"/>
    <w:rsid w:val="0003369A"/>
    <w:rsid w:val="000339F0"/>
    <w:rsid w:val="00034354"/>
    <w:rsid w:val="00036454"/>
    <w:rsid w:val="00036B5D"/>
    <w:rsid w:val="00036E58"/>
    <w:rsid w:val="000377E9"/>
    <w:rsid w:val="00040076"/>
    <w:rsid w:val="00041B42"/>
    <w:rsid w:val="00041E8E"/>
    <w:rsid w:val="00042C28"/>
    <w:rsid w:val="00043708"/>
    <w:rsid w:val="00044009"/>
    <w:rsid w:val="00044041"/>
    <w:rsid w:val="000457BB"/>
    <w:rsid w:val="00045AB1"/>
    <w:rsid w:val="00045C84"/>
    <w:rsid w:val="000460EE"/>
    <w:rsid w:val="00046863"/>
    <w:rsid w:val="0004719C"/>
    <w:rsid w:val="000476EA"/>
    <w:rsid w:val="00047700"/>
    <w:rsid w:val="00051B47"/>
    <w:rsid w:val="0005232E"/>
    <w:rsid w:val="00052933"/>
    <w:rsid w:val="0005435F"/>
    <w:rsid w:val="0005526E"/>
    <w:rsid w:val="000562B2"/>
    <w:rsid w:val="00056492"/>
    <w:rsid w:val="000565D5"/>
    <w:rsid w:val="00057095"/>
    <w:rsid w:val="0005774F"/>
    <w:rsid w:val="000603E7"/>
    <w:rsid w:val="0006081F"/>
    <w:rsid w:val="00060A20"/>
    <w:rsid w:val="00061D8A"/>
    <w:rsid w:val="0006231F"/>
    <w:rsid w:val="00062B46"/>
    <w:rsid w:val="00062FC3"/>
    <w:rsid w:val="00063282"/>
    <w:rsid w:val="00064C34"/>
    <w:rsid w:val="0006507F"/>
    <w:rsid w:val="00065242"/>
    <w:rsid w:val="000653E3"/>
    <w:rsid w:val="0006647D"/>
    <w:rsid w:val="000704FF"/>
    <w:rsid w:val="00071DF0"/>
    <w:rsid w:val="00072469"/>
    <w:rsid w:val="00072653"/>
    <w:rsid w:val="00072A6F"/>
    <w:rsid w:val="00075009"/>
    <w:rsid w:val="00076BA6"/>
    <w:rsid w:val="00076BDF"/>
    <w:rsid w:val="0007724F"/>
    <w:rsid w:val="00077A84"/>
    <w:rsid w:val="00080287"/>
    <w:rsid w:val="00080961"/>
    <w:rsid w:val="00080BFB"/>
    <w:rsid w:val="0008125D"/>
    <w:rsid w:val="000820D4"/>
    <w:rsid w:val="00082F54"/>
    <w:rsid w:val="00083EF2"/>
    <w:rsid w:val="00084389"/>
    <w:rsid w:val="000843DF"/>
    <w:rsid w:val="00084E6B"/>
    <w:rsid w:val="00085137"/>
    <w:rsid w:val="0008540F"/>
    <w:rsid w:val="0008700E"/>
    <w:rsid w:val="00087B69"/>
    <w:rsid w:val="00090E67"/>
    <w:rsid w:val="000917A3"/>
    <w:rsid w:val="00091EF1"/>
    <w:rsid w:val="00091FA1"/>
    <w:rsid w:val="0009207F"/>
    <w:rsid w:val="0009238E"/>
    <w:rsid w:val="000923B5"/>
    <w:rsid w:val="000923B6"/>
    <w:rsid w:val="00093423"/>
    <w:rsid w:val="000947E8"/>
    <w:rsid w:val="0009590B"/>
    <w:rsid w:val="00095BEB"/>
    <w:rsid w:val="00095F43"/>
    <w:rsid w:val="00096860"/>
    <w:rsid w:val="000968D8"/>
    <w:rsid w:val="00097307"/>
    <w:rsid w:val="000975A5"/>
    <w:rsid w:val="000978E4"/>
    <w:rsid w:val="000A0B83"/>
    <w:rsid w:val="000A0D4A"/>
    <w:rsid w:val="000A1838"/>
    <w:rsid w:val="000A18C0"/>
    <w:rsid w:val="000A1F59"/>
    <w:rsid w:val="000A2D35"/>
    <w:rsid w:val="000A4AD6"/>
    <w:rsid w:val="000A4BE7"/>
    <w:rsid w:val="000A530D"/>
    <w:rsid w:val="000A637D"/>
    <w:rsid w:val="000A737E"/>
    <w:rsid w:val="000A7861"/>
    <w:rsid w:val="000A7B4F"/>
    <w:rsid w:val="000A7BCB"/>
    <w:rsid w:val="000B2703"/>
    <w:rsid w:val="000B2768"/>
    <w:rsid w:val="000B3493"/>
    <w:rsid w:val="000B48E9"/>
    <w:rsid w:val="000B55B0"/>
    <w:rsid w:val="000B7D47"/>
    <w:rsid w:val="000C11FA"/>
    <w:rsid w:val="000C265C"/>
    <w:rsid w:val="000C28E1"/>
    <w:rsid w:val="000C3045"/>
    <w:rsid w:val="000C336A"/>
    <w:rsid w:val="000C3A41"/>
    <w:rsid w:val="000C5E76"/>
    <w:rsid w:val="000C61BC"/>
    <w:rsid w:val="000C75C1"/>
    <w:rsid w:val="000C76EF"/>
    <w:rsid w:val="000D072F"/>
    <w:rsid w:val="000D17E9"/>
    <w:rsid w:val="000D1E60"/>
    <w:rsid w:val="000D268A"/>
    <w:rsid w:val="000D2B43"/>
    <w:rsid w:val="000D385A"/>
    <w:rsid w:val="000D3DD4"/>
    <w:rsid w:val="000D403C"/>
    <w:rsid w:val="000D5365"/>
    <w:rsid w:val="000D6199"/>
    <w:rsid w:val="000D6575"/>
    <w:rsid w:val="000D67FB"/>
    <w:rsid w:val="000D6AAB"/>
    <w:rsid w:val="000E01F8"/>
    <w:rsid w:val="000E029D"/>
    <w:rsid w:val="000E447B"/>
    <w:rsid w:val="000E6EA9"/>
    <w:rsid w:val="000E6F6B"/>
    <w:rsid w:val="000F0002"/>
    <w:rsid w:val="000F00CF"/>
    <w:rsid w:val="000F0875"/>
    <w:rsid w:val="000F0FD5"/>
    <w:rsid w:val="000F1BDC"/>
    <w:rsid w:val="000F2011"/>
    <w:rsid w:val="000F2050"/>
    <w:rsid w:val="000F23EC"/>
    <w:rsid w:val="000F27C1"/>
    <w:rsid w:val="000F43D0"/>
    <w:rsid w:val="000F442F"/>
    <w:rsid w:val="000F4B90"/>
    <w:rsid w:val="000F5D16"/>
    <w:rsid w:val="000F6145"/>
    <w:rsid w:val="000F69ED"/>
    <w:rsid w:val="000F6FBA"/>
    <w:rsid w:val="00100640"/>
    <w:rsid w:val="0010094A"/>
    <w:rsid w:val="0010164C"/>
    <w:rsid w:val="00101E55"/>
    <w:rsid w:val="0010282E"/>
    <w:rsid w:val="00103E4E"/>
    <w:rsid w:val="001041A8"/>
    <w:rsid w:val="00104336"/>
    <w:rsid w:val="00104A0F"/>
    <w:rsid w:val="00104A97"/>
    <w:rsid w:val="00104FC6"/>
    <w:rsid w:val="00107F2A"/>
    <w:rsid w:val="0011062D"/>
    <w:rsid w:val="00111B79"/>
    <w:rsid w:val="00113362"/>
    <w:rsid w:val="0011363B"/>
    <w:rsid w:val="00113BF1"/>
    <w:rsid w:val="00113CE5"/>
    <w:rsid w:val="001142B3"/>
    <w:rsid w:val="001145F7"/>
    <w:rsid w:val="001150D6"/>
    <w:rsid w:val="00115253"/>
    <w:rsid w:val="0011535E"/>
    <w:rsid w:val="00115F78"/>
    <w:rsid w:val="00116D17"/>
    <w:rsid w:val="00117126"/>
    <w:rsid w:val="00120727"/>
    <w:rsid w:val="00120CD1"/>
    <w:rsid w:val="00121998"/>
    <w:rsid w:val="0012199A"/>
    <w:rsid w:val="00121A72"/>
    <w:rsid w:val="00121AB4"/>
    <w:rsid w:val="00121AFD"/>
    <w:rsid w:val="001223AC"/>
    <w:rsid w:val="00123CC5"/>
    <w:rsid w:val="00124860"/>
    <w:rsid w:val="001253B5"/>
    <w:rsid w:val="001257CF"/>
    <w:rsid w:val="0012771B"/>
    <w:rsid w:val="001303FE"/>
    <w:rsid w:val="00131161"/>
    <w:rsid w:val="00131D30"/>
    <w:rsid w:val="00134329"/>
    <w:rsid w:val="0013469E"/>
    <w:rsid w:val="001347CE"/>
    <w:rsid w:val="0013482C"/>
    <w:rsid w:val="001355B1"/>
    <w:rsid w:val="001355EB"/>
    <w:rsid w:val="00135F4E"/>
    <w:rsid w:val="00135FE0"/>
    <w:rsid w:val="00136BB5"/>
    <w:rsid w:val="00136DC6"/>
    <w:rsid w:val="001370FF"/>
    <w:rsid w:val="00137525"/>
    <w:rsid w:val="00140236"/>
    <w:rsid w:val="00141BB2"/>
    <w:rsid w:val="001424AF"/>
    <w:rsid w:val="0014691D"/>
    <w:rsid w:val="001474C7"/>
    <w:rsid w:val="001501FB"/>
    <w:rsid w:val="001503C2"/>
    <w:rsid w:val="00150608"/>
    <w:rsid w:val="00151A73"/>
    <w:rsid w:val="00152B12"/>
    <w:rsid w:val="00154752"/>
    <w:rsid w:val="00154937"/>
    <w:rsid w:val="0015502F"/>
    <w:rsid w:val="0015505D"/>
    <w:rsid w:val="00155701"/>
    <w:rsid w:val="0015688E"/>
    <w:rsid w:val="00156C22"/>
    <w:rsid w:val="0015714C"/>
    <w:rsid w:val="00160229"/>
    <w:rsid w:val="00161E0D"/>
    <w:rsid w:val="00161F51"/>
    <w:rsid w:val="00162C0E"/>
    <w:rsid w:val="00162C99"/>
    <w:rsid w:val="00162DD4"/>
    <w:rsid w:val="00165E25"/>
    <w:rsid w:val="001666F3"/>
    <w:rsid w:val="00166A84"/>
    <w:rsid w:val="00170A41"/>
    <w:rsid w:val="0017102F"/>
    <w:rsid w:val="001713E3"/>
    <w:rsid w:val="001726FC"/>
    <w:rsid w:val="00172A27"/>
    <w:rsid w:val="001754CD"/>
    <w:rsid w:val="0017586F"/>
    <w:rsid w:val="00176C56"/>
    <w:rsid w:val="00176CA4"/>
    <w:rsid w:val="0017776E"/>
    <w:rsid w:val="00177DC2"/>
    <w:rsid w:val="0018074B"/>
    <w:rsid w:val="0018253D"/>
    <w:rsid w:val="0018277E"/>
    <w:rsid w:val="00182D86"/>
    <w:rsid w:val="00183C0A"/>
    <w:rsid w:val="00185930"/>
    <w:rsid w:val="00186E0B"/>
    <w:rsid w:val="00187B41"/>
    <w:rsid w:val="001914D6"/>
    <w:rsid w:val="001924BC"/>
    <w:rsid w:val="001938B9"/>
    <w:rsid w:val="001940E4"/>
    <w:rsid w:val="0019413F"/>
    <w:rsid w:val="001943B1"/>
    <w:rsid w:val="00194ED0"/>
    <w:rsid w:val="00195B9C"/>
    <w:rsid w:val="00196BE1"/>
    <w:rsid w:val="00196F66"/>
    <w:rsid w:val="00197162"/>
    <w:rsid w:val="0019777F"/>
    <w:rsid w:val="00197AA1"/>
    <w:rsid w:val="001A028B"/>
    <w:rsid w:val="001A076F"/>
    <w:rsid w:val="001A098D"/>
    <w:rsid w:val="001A0D31"/>
    <w:rsid w:val="001A148D"/>
    <w:rsid w:val="001A15C0"/>
    <w:rsid w:val="001A2125"/>
    <w:rsid w:val="001A244F"/>
    <w:rsid w:val="001A2C8F"/>
    <w:rsid w:val="001A47A9"/>
    <w:rsid w:val="001A6366"/>
    <w:rsid w:val="001A6FDE"/>
    <w:rsid w:val="001B0098"/>
    <w:rsid w:val="001B0192"/>
    <w:rsid w:val="001B0863"/>
    <w:rsid w:val="001B09AF"/>
    <w:rsid w:val="001B12A5"/>
    <w:rsid w:val="001B1452"/>
    <w:rsid w:val="001B1530"/>
    <w:rsid w:val="001B15C8"/>
    <w:rsid w:val="001B28FF"/>
    <w:rsid w:val="001B2A2F"/>
    <w:rsid w:val="001B31B4"/>
    <w:rsid w:val="001B41EE"/>
    <w:rsid w:val="001B6764"/>
    <w:rsid w:val="001B74C7"/>
    <w:rsid w:val="001B76E3"/>
    <w:rsid w:val="001C0159"/>
    <w:rsid w:val="001C035A"/>
    <w:rsid w:val="001C138A"/>
    <w:rsid w:val="001C1F35"/>
    <w:rsid w:val="001C2322"/>
    <w:rsid w:val="001C3D25"/>
    <w:rsid w:val="001C3F67"/>
    <w:rsid w:val="001C42B2"/>
    <w:rsid w:val="001C52A2"/>
    <w:rsid w:val="001C5B4F"/>
    <w:rsid w:val="001C6930"/>
    <w:rsid w:val="001C6E06"/>
    <w:rsid w:val="001C70A5"/>
    <w:rsid w:val="001C716F"/>
    <w:rsid w:val="001C764E"/>
    <w:rsid w:val="001C7EE5"/>
    <w:rsid w:val="001C7F11"/>
    <w:rsid w:val="001D07A9"/>
    <w:rsid w:val="001D2633"/>
    <w:rsid w:val="001D2935"/>
    <w:rsid w:val="001D2F20"/>
    <w:rsid w:val="001D3341"/>
    <w:rsid w:val="001D484D"/>
    <w:rsid w:val="001D5132"/>
    <w:rsid w:val="001D55B5"/>
    <w:rsid w:val="001D5783"/>
    <w:rsid w:val="001D6345"/>
    <w:rsid w:val="001D6419"/>
    <w:rsid w:val="001D6560"/>
    <w:rsid w:val="001D65DF"/>
    <w:rsid w:val="001D717B"/>
    <w:rsid w:val="001D75F3"/>
    <w:rsid w:val="001E0860"/>
    <w:rsid w:val="001E091A"/>
    <w:rsid w:val="001E1557"/>
    <w:rsid w:val="001E1737"/>
    <w:rsid w:val="001E3AB2"/>
    <w:rsid w:val="001E432B"/>
    <w:rsid w:val="001E4431"/>
    <w:rsid w:val="001E6159"/>
    <w:rsid w:val="001E6247"/>
    <w:rsid w:val="001E7103"/>
    <w:rsid w:val="001E7AD2"/>
    <w:rsid w:val="001F0571"/>
    <w:rsid w:val="001F13C8"/>
    <w:rsid w:val="001F1916"/>
    <w:rsid w:val="001F245C"/>
    <w:rsid w:val="001F26FE"/>
    <w:rsid w:val="001F36F7"/>
    <w:rsid w:val="001F4626"/>
    <w:rsid w:val="001F4EA2"/>
    <w:rsid w:val="001F5714"/>
    <w:rsid w:val="001F57C2"/>
    <w:rsid w:val="001F677B"/>
    <w:rsid w:val="001F68BA"/>
    <w:rsid w:val="001F7A0F"/>
    <w:rsid w:val="0020033E"/>
    <w:rsid w:val="00200C69"/>
    <w:rsid w:val="002017B2"/>
    <w:rsid w:val="002019F4"/>
    <w:rsid w:val="00202394"/>
    <w:rsid w:val="00202D44"/>
    <w:rsid w:val="00203C73"/>
    <w:rsid w:val="002043C5"/>
    <w:rsid w:val="002046CC"/>
    <w:rsid w:val="0020559B"/>
    <w:rsid w:val="00205D04"/>
    <w:rsid w:val="00206B3B"/>
    <w:rsid w:val="00207947"/>
    <w:rsid w:val="00210C0E"/>
    <w:rsid w:val="0021139A"/>
    <w:rsid w:val="0021248E"/>
    <w:rsid w:val="00212F4D"/>
    <w:rsid w:val="002138AB"/>
    <w:rsid w:val="002146D3"/>
    <w:rsid w:val="0021480E"/>
    <w:rsid w:val="00214D35"/>
    <w:rsid w:val="002153CB"/>
    <w:rsid w:val="00215F18"/>
    <w:rsid w:val="0021649F"/>
    <w:rsid w:val="00216757"/>
    <w:rsid w:val="0021680A"/>
    <w:rsid w:val="00217967"/>
    <w:rsid w:val="00217D55"/>
    <w:rsid w:val="00217E88"/>
    <w:rsid w:val="00220548"/>
    <w:rsid w:val="002211B9"/>
    <w:rsid w:val="0022197D"/>
    <w:rsid w:val="00221ABC"/>
    <w:rsid w:val="0022284B"/>
    <w:rsid w:val="00222AC8"/>
    <w:rsid w:val="00222C1A"/>
    <w:rsid w:val="00223EF5"/>
    <w:rsid w:val="00224512"/>
    <w:rsid w:val="002246C9"/>
    <w:rsid w:val="00227142"/>
    <w:rsid w:val="0022724D"/>
    <w:rsid w:val="00227368"/>
    <w:rsid w:val="002301BD"/>
    <w:rsid w:val="002308D6"/>
    <w:rsid w:val="00230E72"/>
    <w:rsid w:val="0023146D"/>
    <w:rsid w:val="0023250C"/>
    <w:rsid w:val="00232A77"/>
    <w:rsid w:val="00232CB4"/>
    <w:rsid w:val="00232DB1"/>
    <w:rsid w:val="00232E1C"/>
    <w:rsid w:val="00233913"/>
    <w:rsid w:val="00234339"/>
    <w:rsid w:val="00234785"/>
    <w:rsid w:val="00234E03"/>
    <w:rsid w:val="00235546"/>
    <w:rsid w:val="00235F3F"/>
    <w:rsid w:val="002360F0"/>
    <w:rsid w:val="00236969"/>
    <w:rsid w:val="002372EA"/>
    <w:rsid w:val="0023777C"/>
    <w:rsid w:val="002416C9"/>
    <w:rsid w:val="00241AB7"/>
    <w:rsid w:val="00241EF5"/>
    <w:rsid w:val="002431BA"/>
    <w:rsid w:val="00244407"/>
    <w:rsid w:val="00245386"/>
    <w:rsid w:val="002456FA"/>
    <w:rsid w:val="00245B8B"/>
    <w:rsid w:val="00245D80"/>
    <w:rsid w:val="00247B32"/>
    <w:rsid w:val="00250B4A"/>
    <w:rsid w:val="00250E9B"/>
    <w:rsid w:val="002516E2"/>
    <w:rsid w:val="0025295D"/>
    <w:rsid w:val="0025328A"/>
    <w:rsid w:val="00253FF9"/>
    <w:rsid w:val="002545F5"/>
    <w:rsid w:val="002548A9"/>
    <w:rsid w:val="00255B7A"/>
    <w:rsid w:val="002563B0"/>
    <w:rsid w:val="002564A2"/>
    <w:rsid w:val="00256C12"/>
    <w:rsid w:val="00257111"/>
    <w:rsid w:val="00257CA1"/>
    <w:rsid w:val="002609C6"/>
    <w:rsid w:val="00261DAB"/>
    <w:rsid w:val="00262C23"/>
    <w:rsid w:val="00262E26"/>
    <w:rsid w:val="0026316B"/>
    <w:rsid w:val="00263CB1"/>
    <w:rsid w:val="00264395"/>
    <w:rsid w:val="00265C1C"/>
    <w:rsid w:val="002664B0"/>
    <w:rsid w:val="00266953"/>
    <w:rsid w:val="002671C2"/>
    <w:rsid w:val="002671D2"/>
    <w:rsid w:val="00267E70"/>
    <w:rsid w:val="00267FB0"/>
    <w:rsid w:val="00270243"/>
    <w:rsid w:val="002704E6"/>
    <w:rsid w:val="0027081B"/>
    <w:rsid w:val="00270999"/>
    <w:rsid w:val="00270BDF"/>
    <w:rsid w:val="00270E9A"/>
    <w:rsid w:val="0027144C"/>
    <w:rsid w:val="00272A84"/>
    <w:rsid w:val="0027375C"/>
    <w:rsid w:val="00273790"/>
    <w:rsid w:val="002739C2"/>
    <w:rsid w:val="00273BB6"/>
    <w:rsid w:val="00274897"/>
    <w:rsid w:val="002755F3"/>
    <w:rsid w:val="002769C2"/>
    <w:rsid w:val="00282BF9"/>
    <w:rsid w:val="00282FC3"/>
    <w:rsid w:val="00283E36"/>
    <w:rsid w:val="0028425E"/>
    <w:rsid w:val="00284B98"/>
    <w:rsid w:val="00284E87"/>
    <w:rsid w:val="00284F08"/>
    <w:rsid w:val="00286196"/>
    <w:rsid w:val="00286E73"/>
    <w:rsid w:val="00287CF1"/>
    <w:rsid w:val="00291446"/>
    <w:rsid w:val="00291940"/>
    <w:rsid w:val="00291A14"/>
    <w:rsid w:val="00291C02"/>
    <w:rsid w:val="00292B6D"/>
    <w:rsid w:val="00292DA2"/>
    <w:rsid w:val="0029463D"/>
    <w:rsid w:val="00294A0F"/>
    <w:rsid w:val="00295143"/>
    <w:rsid w:val="00295485"/>
    <w:rsid w:val="0029566C"/>
    <w:rsid w:val="00295A98"/>
    <w:rsid w:val="0029606D"/>
    <w:rsid w:val="00296AFA"/>
    <w:rsid w:val="0029763B"/>
    <w:rsid w:val="0029794C"/>
    <w:rsid w:val="002A104B"/>
    <w:rsid w:val="002A12FF"/>
    <w:rsid w:val="002A1907"/>
    <w:rsid w:val="002A1D1D"/>
    <w:rsid w:val="002A2516"/>
    <w:rsid w:val="002A3095"/>
    <w:rsid w:val="002A314E"/>
    <w:rsid w:val="002A3F50"/>
    <w:rsid w:val="002A4137"/>
    <w:rsid w:val="002A4531"/>
    <w:rsid w:val="002A5028"/>
    <w:rsid w:val="002A5199"/>
    <w:rsid w:val="002A525A"/>
    <w:rsid w:val="002A5425"/>
    <w:rsid w:val="002A5DC8"/>
    <w:rsid w:val="002A67B8"/>
    <w:rsid w:val="002A7968"/>
    <w:rsid w:val="002A7C3B"/>
    <w:rsid w:val="002A7C4B"/>
    <w:rsid w:val="002B0150"/>
    <w:rsid w:val="002B097E"/>
    <w:rsid w:val="002B0A75"/>
    <w:rsid w:val="002B1C9C"/>
    <w:rsid w:val="002B211B"/>
    <w:rsid w:val="002B22AC"/>
    <w:rsid w:val="002B29D9"/>
    <w:rsid w:val="002B2DEE"/>
    <w:rsid w:val="002B344A"/>
    <w:rsid w:val="002B494F"/>
    <w:rsid w:val="002B5050"/>
    <w:rsid w:val="002B5E25"/>
    <w:rsid w:val="002B6ABF"/>
    <w:rsid w:val="002B6B25"/>
    <w:rsid w:val="002B7E5D"/>
    <w:rsid w:val="002C0BA0"/>
    <w:rsid w:val="002C0F51"/>
    <w:rsid w:val="002C2D9A"/>
    <w:rsid w:val="002C30CD"/>
    <w:rsid w:val="002C3FFE"/>
    <w:rsid w:val="002C4378"/>
    <w:rsid w:val="002C53AB"/>
    <w:rsid w:val="002C71B7"/>
    <w:rsid w:val="002C7907"/>
    <w:rsid w:val="002D00BA"/>
    <w:rsid w:val="002D067F"/>
    <w:rsid w:val="002D07AC"/>
    <w:rsid w:val="002D0DAE"/>
    <w:rsid w:val="002D19AE"/>
    <w:rsid w:val="002D28D1"/>
    <w:rsid w:val="002D2ABD"/>
    <w:rsid w:val="002D2F50"/>
    <w:rsid w:val="002D326B"/>
    <w:rsid w:val="002D3719"/>
    <w:rsid w:val="002D40E2"/>
    <w:rsid w:val="002D42F6"/>
    <w:rsid w:val="002D503A"/>
    <w:rsid w:val="002D5367"/>
    <w:rsid w:val="002D7403"/>
    <w:rsid w:val="002E027F"/>
    <w:rsid w:val="002E281C"/>
    <w:rsid w:val="002E4312"/>
    <w:rsid w:val="002E47BF"/>
    <w:rsid w:val="002E6337"/>
    <w:rsid w:val="002E7A2D"/>
    <w:rsid w:val="002E7C2B"/>
    <w:rsid w:val="002F01AC"/>
    <w:rsid w:val="002F085A"/>
    <w:rsid w:val="002F0B3D"/>
    <w:rsid w:val="002F0E85"/>
    <w:rsid w:val="002F122A"/>
    <w:rsid w:val="002F150C"/>
    <w:rsid w:val="002F156E"/>
    <w:rsid w:val="002F1DA1"/>
    <w:rsid w:val="002F22DF"/>
    <w:rsid w:val="002F254B"/>
    <w:rsid w:val="002F2E8A"/>
    <w:rsid w:val="002F3790"/>
    <w:rsid w:val="002F5022"/>
    <w:rsid w:val="002F561F"/>
    <w:rsid w:val="002F563C"/>
    <w:rsid w:val="002F58D3"/>
    <w:rsid w:val="002F677D"/>
    <w:rsid w:val="002F712D"/>
    <w:rsid w:val="002F721E"/>
    <w:rsid w:val="00300206"/>
    <w:rsid w:val="00300C0E"/>
    <w:rsid w:val="00301904"/>
    <w:rsid w:val="00302749"/>
    <w:rsid w:val="0030375B"/>
    <w:rsid w:val="00305019"/>
    <w:rsid w:val="00305D1E"/>
    <w:rsid w:val="0030714C"/>
    <w:rsid w:val="00310CB1"/>
    <w:rsid w:val="003125DE"/>
    <w:rsid w:val="00313E89"/>
    <w:rsid w:val="00313ED2"/>
    <w:rsid w:val="00314F57"/>
    <w:rsid w:val="003155FA"/>
    <w:rsid w:val="0031590D"/>
    <w:rsid w:val="003162B3"/>
    <w:rsid w:val="0031690C"/>
    <w:rsid w:val="00316B8C"/>
    <w:rsid w:val="0032065A"/>
    <w:rsid w:val="00321395"/>
    <w:rsid w:val="003216C3"/>
    <w:rsid w:val="0032190A"/>
    <w:rsid w:val="003221CC"/>
    <w:rsid w:val="00322BDE"/>
    <w:rsid w:val="00322E09"/>
    <w:rsid w:val="00322E91"/>
    <w:rsid w:val="003237B9"/>
    <w:rsid w:val="00324DF7"/>
    <w:rsid w:val="00324EFC"/>
    <w:rsid w:val="003252CA"/>
    <w:rsid w:val="00325332"/>
    <w:rsid w:val="00327BCC"/>
    <w:rsid w:val="00330D2A"/>
    <w:rsid w:val="00331107"/>
    <w:rsid w:val="003312BC"/>
    <w:rsid w:val="00331BF1"/>
    <w:rsid w:val="0033276F"/>
    <w:rsid w:val="003334C4"/>
    <w:rsid w:val="00333511"/>
    <w:rsid w:val="00333836"/>
    <w:rsid w:val="003338C9"/>
    <w:rsid w:val="00333BAF"/>
    <w:rsid w:val="00334E4E"/>
    <w:rsid w:val="003368DE"/>
    <w:rsid w:val="00336B72"/>
    <w:rsid w:val="00336BF0"/>
    <w:rsid w:val="00336D26"/>
    <w:rsid w:val="003375D2"/>
    <w:rsid w:val="00337D4F"/>
    <w:rsid w:val="003427DA"/>
    <w:rsid w:val="00342F16"/>
    <w:rsid w:val="0034463B"/>
    <w:rsid w:val="0034470B"/>
    <w:rsid w:val="00345039"/>
    <w:rsid w:val="0034531C"/>
    <w:rsid w:val="003464E8"/>
    <w:rsid w:val="003465D7"/>
    <w:rsid w:val="0034762B"/>
    <w:rsid w:val="00350128"/>
    <w:rsid w:val="0035258B"/>
    <w:rsid w:val="00353120"/>
    <w:rsid w:val="00353C63"/>
    <w:rsid w:val="00354D8A"/>
    <w:rsid w:val="00355474"/>
    <w:rsid w:val="00355D23"/>
    <w:rsid w:val="00355FFB"/>
    <w:rsid w:val="003562C8"/>
    <w:rsid w:val="003566BD"/>
    <w:rsid w:val="00356F6F"/>
    <w:rsid w:val="0035795A"/>
    <w:rsid w:val="003616DF"/>
    <w:rsid w:val="00361ED3"/>
    <w:rsid w:val="003621E2"/>
    <w:rsid w:val="00362A4B"/>
    <w:rsid w:val="00363253"/>
    <w:rsid w:val="00363819"/>
    <w:rsid w:val="00365850"/>
    <w:rsid w:val="003659FF"/>
    <w:rsid w:val="00365A4F"/>
    <w:rsid w:val="003664C9"/>
    <w:rsid w:val="00366E86"/>
    <w:rsid w:val="00367184"/>
    <w:rsid w:val="003674DE"/>
    <w:rsid w:val="00370278"/>
    <w:rsid w:val="003706FA"/>
    <w:rsid w:val="00370AC8"/>
    <w:rsid w:val="003717B3"/>
    <w:rsid w:val="003719C7"/>
    <w:rsid w:val="0037247D"/>
    <w:rsid w:val="003736D4"/>
    <w:rsid w:val="003741D4"/>
    <w:rsid w:val="0037431B"/>
    <w:rsid w:val="003746D0"/>
    <w:rsid w:val="003751C5"/>
    <w:rsid w:val="003755B8"/>
    <w:rsid w:val="00375B8F"/>
    <w:rsid w:val="00377A33"/>
    <w:rsid w:val="00377B2B"/>
    <w:rsid w:val="00380641"/>
    <w:rsid w:val="00380E2B"/>
    <w:rsid w:val="00380ED3"/>
    <w:rsid w:val="00380F97"/>
    <w:rsid w:val="00381F30"/>
    <w:rsid w:val="00382FAA"/>
    <w:rsid w:val="0038329C"/>
    <w:rsid w:val="0038345A"/>
    <w:rsid w:val="003843BD"/>
    <w:rsid w:val="00384B17"/>
    <w:rsid w:val="00384CE8"/>
    <w:rsid w:val="00385197"/>
    <w:rsid w:val="00385ED8"/>
    <w:rsid w:val="00385F6B"/>
    <w:rsid w:val="00386128"/>
    <w:rsid w:val="00386601"/>
    <w:rsid w:val="00386A49"/>
    <w:rsid w:val="00386A63"/>
    <w:rsid w:val="00387556"/>
    <w:rsid w:val="003876CB"/>
    <w:rsid w:val="0039039D"/>
    <w:rsid w:val="00390640"/>
    <w:rsid w:val="00391103"/>
    <w:rsid w:val="00391A0A"/>
    <w:rsid w:val="00391B9E"/>
    <w:rsid w:val="00392152"/>
    <w:rsid w:val="00392DBA"/>
    <w:rsid w:val="00392DE6"/>
    <w:rsid w:val="003930A2"/>
    <w:rsid w:val="00393265"/>
    <w:rsid w:val="00393310"/>
    <w:rsid w:val="00393B4C"/>
    <w:rsid w:val="00393F83"/>
    <w:rsid w:val="00396FA1"/>
    <w:rsid w:val="003977F6"/>
    <w:rsid w:val="00397E58"/>
    <w:rsid w:val="003A02CC"/>
    <w:rsid w:val="003A0BB8"/>
    <w:rsid w:val="003A1947"/>
    <w:rsid w:val="003A21C3"/>
    <w:rsid w:val="003A2D17"/>
    <w:rsid w:val="003A2FFD"/>
    <w:rsid w:val="003A5101"/>
    <w:rsid w:val="003A6709"/>
    <w:rsid w:val="003A6A1F"/>
    <w:rsid w:val="003A6DB0"/>
    <w:rsid w:val="003A7937"/>
    <w:rsid w:val="003A7FDE"/>
    <w:rsid w:val="003B0E80"/>
    <w:rsid w:val="003B1122"/>
    <w:rsid w:val="003B2017"/>
    <w:rsid w:val="003B27CA"/>
    <w:rsid w:val="003B2F1A"/>
    <w:rsid w:val="003B308F"/>
    <w:rsid w:val="003B34D6"/>
    <w:rsid w:val="003B352E"/>
    <w:rsid w:val="003B415B"/>
    <w:rsid w:val="003B4924"/>
    <w:rsid w:val="003B49A2"/>
    <w:rsid w:val="003B4E77"/>
    <w:rsid w:val="003B55C3"/>
    <w:rsid w:val="003B58A4"/>
    <w:rsid w:val="003B6516"/>
    <w:rsid w:val="003B6945"/>
    <w:rsid w:val="003B785C"/>
    <w:rsid w:val="003C034E"/>
    <w:rsid w:val="003C0CCC"/>
    <w:rsid w:val="003C0D32"/>
    <w:rsid w:val="003C2BDB"/>
    <w:rsid w:val="003C3454"/>
    <w:rsid w:val="003C398D"/>
    <w:rsid w:val="003C3D97"/>
    <w:rsid w:val="003C551E"/>
    <w:rsid w:val="003C5862"/>
    <w:rsid w:val="003C5A2E"/>
    <w:rsid w:val="003C5BC4"/>
    <w:rsid w:val="003C63FD"/>
    <w:rsid w:val="003C6B66"/>
    <w:rsid w:val="003C6D8A"/>
    <w:rsid w:val="003C70FB"/>
    <w:rsid w:val="003D1DB6"/>
    <w:rsid w:val="003D275B"/>
    <w:rsid w:val="003D2B85"/>
    <w:rsid w:val="003D2BEE"/>
    <w:rsid w:val="003D2EA8"/>
    <w:rsid w:val="003D489F"/>
    <w:rsid w:val="003D4CC6"/>
    <w:rsid w:val="003D4F99"/>
    <w:rsid w:val="003D548A"/>
    <w:rsid w:val="003D5AB2"/>
    <w:rsid w:val="003D6969"/>
    <w:rsid w:val="003E0902"/>
    <w:rsid w:val="003E1E28"/>
    <w:rsid w:val="003E1FBE"/>
    <w:rsid w:val="003E2690"/>
    <w:rsid w:val="003E275C"/>
    <w:rsid w:val="003E3534"/>
    <w:rsid w:val="003E3779"/>
    <w:rsid w:val="003E3D02"/>
    <w:rsid w:val="003E3F4D"/>
    <w:rsid w:val="003E491C"/>
    <w:rsid w:val="003E4CBB"/>
    <w:rsid w:val="003E556E"/>
    <w:rsid w:val="003E5D54"/>
    <w:rsid w:val="003E5DB7"/>
    <w:rsid w:val="003E64B3"/>
    <w:rsid w:val="003E6823"/>
    <w:rsid w:val="003E77B8"/>
    <w:rsid w:val="003E7B3C"/>
    <w:rsid w:val="003F0D32"/>
    <w:rsid w:val="003F2663"/>
    <w:rsid w:val="003F2B92"/>
    <w:rsid w:val="003F471B"/>
    <w:rsid w:val="003F4A96"/>
    <w:rsid w:val="003F59CE"/>
    <w:rsid w:val="003F6495"/>
    <w:rsid w:val="003F6904"/>
    <w:rsid w:val="003F6EF1"/>
    <w:rsid w:val="003F73FF"/>
    <w:rsid w:val="003F7D64"/>
    <w:rsid w:val="00400BF6"/>
    <w:rsid w:val="00400D47"/>
    <w:rsid w:val="00401B3A"/>
    <w:rsid w:val="00402914"/>
    <w:rsid w:val="0040429B"/>
    <w:rsid w:val="004046EE"/>
    <w:rsid w:val="00407F4B"/>
    <w:rsid w:val="0041260D"/>
    <w:rsid w:val="00415B57"/>
    <w:rsid w:val="004163C2"/>
    <w:rsid w:val="00416A25"/>
    <w:rsid w:val="00416A70"/>
    <w:rsid w:val="00416F14"/>
    <w:rsid w:val="00417F64"/>
    <w:rsid w:val="0042045A"/>
    <w:rsid w:val="00420BEB"/>
    <w:rsid w:val="00421FD7"/>
    <w:rsid w:val="004220DF"/>
    <w:rsid w:val="00422526"/>
    <w:rsid w:val="00422983"/>
    <w:rsid w:val="004237A7"/>
    <w:rsid w:val="00423A3D"/>
    <w:rsid w:val="004244E5"/>
    <w:rsid w:val="004257FE"/>
    <w:rsid w:val="004269E6"/>
    <w:rsid w:val="00426CD6"/>
    <w:rsid w:val="00427C38"/>
    <w:rsid w:val="00427C93"/>
    <w:rsid w:val="00430356"/>
    <w:rsid w:val="0043058C"/>
    <w:rsid w:val="004320C0"/>
    <w:rsid w:val="0043286E"/>
    <w:rsid w:val="00432A8D"/>
    <w:rsid w:val="00433B92"/>
    <w:rsid w:val="00434288"/>
    <w:rsid w:val="00434A92"/>
    <w:rsid w:val="00434D21"/>
    <w:rsid w:val="0043558A"/>
    <w:rsid w:val="00435598"/>
    <w:rsid w:val="004359F5"/>
    <w:rsid w:val="00435B18"/>
    <w:rsid w:val="004367D4"/>
    <w:rsid w:val="004371FD"/>
    <w:rsid w:val="00437C30"/>
    <w:rsid w:val="004400F3"/>
    <w:rsid w:val="00440484"/>
    <w:rsid w:val="00440E0B"/>
    <w:rsid w:val="00441C8E"/>
    <w:rsid w:val="0044257C"/>
    <w:rsid w:val="00442810"/>
    <w:rsid w:val="00442C37"/>
    <w:rsid w:val="0044337D"/>
    <w:rsid w:val="00443519"/>
    <w:rsid w:val="0044586F"/>
    <w:rsid w:val="00445871"/>
    <w:rsid w:val="00446D37"/>
    <w:rsid w:val="004501EF"/>
    <w:rsid w:val="00450F50"/>
    <w:rsid w:val="004516C1"/>
    <w:rsid w:val="0045240B"/>
    <w:rsid w:val="0045367E"/>
    <w:rsid w:val="004537F3"/>
    <w:rsid w:val="004547C0"/>
    <w:rsid w:val="00454C85"/>
    <w:rsid w:val="00456979"/>
    <w:rsid w:val="00457EEA"/>
    <w:rsid w:val="00460533"/>
    <w:rsid w:val="00460F5B"/>
    <w:rsid w:val="00461ACC"/>
    <w:rsid w:val="0046241C"/>
    <w:rsid w:val="004635D4"/>
    <w:rsid w:val="00463A6A"/>
    <w:rsid w:val="0046454B"/>
    <w:rsid w:val="00464622"/>
    <w:rsid w:val="00464CC8"/>
    <w:rsid w:val="004654D0"/>
    <w:rsid w:val="00466C3E"/>
    <w:rsid w:val="00466D05"/>
    <w:rsid w:val="004672F1"/>
    <w:rsid w:val="004716B8"/>
    <w:rsid w:val="00472570"/>
    <w:rsid w:val="00472F31"/>
    <w:rsid w:val="00473BA4"/>
    <w:rsid w:val="00473CCE"/>
    <w:rsid w:val="0047408D"/>
    <w:rsid w:val="004740D4"/>
    <w:rsid w:val="004748F8"/>
    <w:rsid w:val="0047547B"/>
    <w:rsid w:val="004754B0"/>
    <w:rsid w:val="00475A98"/>
    <w:rsid w:val="00475FB9"/>
    <w:rsid w:val="0047631A"/>
    <w:rsid w:val="0047670C"/>
    <w:rsid w:val="00480824"/>
    <w:rsid w:val="0048106E"/>
    <w:rsid w:val="004821CE"/>
    <w:rsid w:val="00483C33"/>
    <w:rsid w:val="004845CF"/>
    <w:rsid w:val="00486CE3"/>
    <w:rsid w:val="00487318"/>
    <w:rsid w:val="0049051E"/>
    <w:rsid w:val="00490B42"/>
    <w:rsid w:val="00492F11"/>
    <w:rsid w:val="0049318F"/>
    <w:rsid w:val="004963CB"/>
    <w:rsid w:val="00496E01"/>
    <w:rsid w:val="0049731F"/>
    <w:rsid w:val="00497759"/>
    <w:rsid w:val="004A0D6D"/>
    <w:rsid w:val="004A20AB"/>
    <w:rsid w:val="004A2912"/>
    <w:rsid w:val="004A2E7D"/>
    <w:rsid w:val="004A406A"/>
    <w:rsid w:val="004A46DD"/>
    <w:rsid w:val="004A4983"/>
    <w:rsid w:val="004A4E81"/>
    <w:rsid w:val="004A721F"/>
    <w:rsid w:val="004A72AF"/>
    <w:rsid w:val="004B00C4"/>
    <w:rsid w:val="004B0CC4"/>
    <w:rsid w:val="004B10F8"/>
    <w:rsid w:val="004B2889"/>
    <w:rsid w:val="004B298C"/>
    <w:rsid w:val="004B2C39"/>
    <w:rsid w:val="004B4BD0"/>
    <w:rsid w:val="004B5686"/>
    <w:rsid w:val="004B589D"/>
    <w:rsid w:val="004B6905"/>
    <w:rsid w:val="004B7BC9"/>
    <w:rsid w:val="004C12D7"/>
    <w:rsid w:val="004C207F"/>
    <w:rsid w:val="004C3051"/>
    <w:rsid w:val="004C3606"/>
    <w:rsid w:val="004C37B0"/>
    <w:rsid w:val="004C3EAE"/>
    <w:rsid w:val="004C5662"/>
    <w:rsid w:val="004C59F6"/>
    <w:rsid w:val="004C6604"/>
    <w:rsid w:val="004D15AC"/>
    <w:rsid w:val="004D29E4"/>
    <w:rsid w:val="004D359A"/>
    <w:rsid w:val="004D35BF"/>
    <w:rsid w:val="004D3C24"/>
    <w:rsid w:val="004D441C"/>
    <w:rsid w:val="004D48C0"/>
    <w:rsid w:val="004D4E00"/>
    <w:rsid w:val="004D4FC2"/>
    <w:rsid w:val="004D5012"/>
    <w:rsid w:val="004D73A9"/>
    <w:rsid w:val="004D778D"/>
    <w:rsid w:val="004D7C61"/>
    <w:rsid w:val="004D7E60"/>
    <w:rsid w:val="004E1DCB"/>
    <w:rsid w:val="004E21AA"/>
    <w:rsid w:val="004E2885"/>
    <w:rsid w:val="004E3E21"/>
    <w:rsid w:val="004E55E8"/>
    <w:rsid w:val="004E6C46"/>
    <w:rsid w:val="004E6C55"/>
    <w:rsid w:val="004E7930"/>
    <w:rsid w:val="004F0221"/>
    <w:rsid w:val="004F1098"/>
    <w:rsid w:val="004F24A0"/>
    <w:rsid w:val="004F3237"/>
    <w:rsid w:val="004F3916"/>
    <w:rsid w:val="004F3A98"/>
    <w:rsid w:val="004F3EBF"/>
    <w:rsid w:val="004F42E1"/>
    <w:rsid w:val="004F64CA"/>
    <w:rsid w:val="004F67F2"/>
    <w:rsid w:val="004F68A6"/>
    <w:rsid w:val="004F6FDD"/>
    <w:rsid w:val="004F7B21"/>
    <w:rsid w:val="004F7E66"/>
    <w:rsid w:val="00500006"/>
    <w:rsid w:val="00500283"/>
    <w:rsid w:val="00500B56"/>
    <w:rsid w:val="005028E0"/>
    <w:rsid w:val="00502931"/>
    <w:rsid w:val="005030E0"/>
    <w:rsid w:val="00503AD3"/>
    <w:rsid w:val="0050491C"/>
    <w:rsid w:val="00504AE4"/>
    <w:rsid w:val="00504C81"/>
    <w:rsid w:val="00504FAD"/>
    <w:rsid w:val="005052FF"/>
    <w:rsid w:val="00505B5E"/>
    <w:rsid w:val="00505FA5"/>
    <w:rsid w:val="005064E2"/>
    <w:rsid w:val="00506587"/>
    <w:rsid w:val="0050680B"/>
    <w:rsid w:val="00507720"/>
    <w:rsid w:val="00511FBF"/>
    <w:rsid w:val="00514874"/>
    <w:rsid w:val="00514C87"/>
    <w:rsid w:val="005150A0"/>
    <w:rsid w:val="0051576C"/>
    <w:rsid w:val="005159EF"/>
    <w:rsid w:val="00515A6A"/>
    <w:rsid w:val="005178F2"/>
    <w:rsid w:val="005200DA"/>
    <w:rsid w:val="00520777"/>
    <w:rsid w:val="005211D3"/>
    <w:rsid w:val="00521CB6"/>
    <w:rsid w:val="00522215"/>
    <w:rsid w:val="00522288"/>
    <w:rsid w:val="005226CD"/>
    <w:rsid w:val="005232C5"/>
    <w:rsid w:val="005234B2"/>
    <w:rsid w:val="00525951"/>
    <w:rsid w:val="005262FE"/>
    <w:rsid w:val="00526736"/>
    <w:rsid w:val="00526A8B"/>
    <w:rsid w:val="00526B9A"/>
    <w:rsid w:val="0052719D"/>
    <w:rsid w:val="005274B5"/>
    <w:rsid w:val="00527872"/>
    <w:rsid w:val="00527E09"/>
    <w:rsid w:val="00530078"/>
    <w:rsid w:val="00530583"/>
    <w:rsid w:val="005306B8"/>
    <w:rsid w:val="00531014"/>
    <w:rsid w:val="00531A80"/>
    <w:rsid w:val="00531B95"/>
    <w:rsid w:val="005327AA"/>
    <w:rsid w:val="00532F1A"/>
    <w:rsid w:val="00532F64"/>
    <w:rsid w:val="005334F8"/>
    <w:rsid w:val="00533932"/>
    <w:rsid w:val="0053625C"/>
    <w:rsid w:val="00536778"/>
    <w:rsid w:val="00536DD1"/>
    <w:rsid w:val="005416B1"/>
    <w:rsid w:val="00541A0C"/>
    <w:rsid w:val="00541E6D"/>
    <w:rsid w:val="0054210D"/>
    <w:rsid w:val="00542942"/>
    <w:rsid w:val="00543293"/>
    <w:rsid w:val="00543EC8"/>
    <w:rsid w:val="00546536"/>
    <w:rsid w:val="005466C1"/>
    <w:rsid w:val="00547A4C"/>
    <w:rsid w:val="005509CE"/>
    <w:rsid w:val="00551A01"/>
    <w:rsid w:val="005525D6"/>
    <w:rsid w:val="005531C6"/>
    <w:rsid w:val="00553D31"/>
    <w:rsid w:val="005543B7"/>
    <w:rsid w:val="00554867"/>
    <w:rsid w:val="005554B1"/>
    <w:rsid w:val="00557623"/>
    <w:rsid w:val="00560670"/>
    <w:rsid w:val="00560F26"/>
    <w:rsid w:val="00561237"/>
    <w:rsid w:val="00561976"/>
    <w:rsid w:val="005628A8"/>
    <w:rsid w:val="005628D5"/>
    <w:rsid w:val="00565129"/>
    <w:rsid w:val="005651F4"/>
    <w:rsid w:val="00565289"/>
    <w:rsid w:val="0056709D"/>
    <w:rsid w:val="005674A2"/>
    <w:rsid w:val="00567DAE"/>
    <w:rsid w:val="00570983"/>
    <w:rsid w:val="00571505"/>
    <w:rsid w:val="0057253A"/>
    <w:rsid w:val="00574C13"/>
    <w:rsid w:val="00576939"/>
    <w:rsid w:val="00580AD6"/>
    <w:rsid w:val="00583164"/>
    <w:rsid w:val="00583A9E"/>
    <w:rsid w:val="00583CB2"/>
    <w:rsid w:val="005844D6"/>
    <w:rsid w:val="005844F0"/>
    <w:rsid w:val="00584E9E"/>
    <w:rsid w:val="0058558B"/>
    <w:rsid w:val="00585A76"/>
    <w:rsid w:val="00585AF3"/>
    <w:rsid w:val="00585CC1"/>
    <w:rsid w:val="00586491"/>
    <w:rsid w:val="00586DD1"/>
    <w:rsid w:val="00587013"/>
    <w:rsid w:val="005879C4"/>
    <w:rsid w:val="005905DF"/>
    <w:rsid w:val="00590B27"/>
    <w:rsid w:val="005915E8"/>
    <w:rsid w:val="005916D8"/>
    <w:rsid w:val="00592A84"/>
    <w:rsid w:val="00593BDD"/>
    <w:rsid w:val="0059410C"/>
    <w:rsid w:val="005956FB"/>
    <w:rsid w:val="005960D7"/>
    <w:rsid w:val="005964A9"/>
    <w:rsid w:val="0059677A"/>
    <w:rsid w:val="00596E7E"/>
    <w:rsid w:val="00596F45"/>
    <w:rsid w:val="005A083C"/>
    <w:rsid w:val="005A0F5B"/>
    <w:rsid w:val="005A1554"/>
    <w:rsid w:val="005A17DF"/>
    <w:rsid w:val="005A1A02"/>
    <w:rsid w:val="005A221F"/>
    <w:rsid w:val="005A3521"/>
    <w:rsid w:val="005A5154"/>
    <w:rsid w:val="005A539E"/>
    <w:rsid w:val="005A5493"/>
    <w:rsid w:val="005A5900"/>
    <w:rsid w:val="005A6827"/>
    <w:rsid w:val="005A6EEF"/>
    <w:rsid w:val="005A7115"/>
    <w:rsid w:val="005B08A4"/>
    <w:rsid w:val="005B0CB8"/>
    <w:rsid w:val="005B1F30"/>
    <w:rsid w:val="005B1FC1"/>
    <w:rsid w:val="005B2468"/>
    <w:rsid w:val="005B2E59"/>
    <w:rsid w:val="005B4EB8"/>
    <w:rsid w:val="005B4FF6"/>
    <w:rsid w:val="005B66C0"/>
    <w:rsid w:val="005B6A5B"/>
    <w:rsid w:val="005B7120"/>
    <w:rsid w:val="005B77AA"/>
    <w:rsid w:val="005C15AD"/>
    <w:rsid w:val="005C1DE5"/>
    <w:rsid w:val="005C2701"/>
    <w:rsid w:val="005C2778"/>
    <w:rsid w:val="005C45B4"/>
    <w:rsid w:val="005C51FA"/>
    <w:rsid w:val="005C596B"/>
    <w:rsid w:val="005C631D"/>
    <w:rsid w:val="005C65E2"/>
    <w:rsid w:val="005C6749"/>
    <w:rsid w:val="005C7554"/>
    <w:rsid w:val="005C7D0B"/>
    <w:rsid w:val="005C7DC3"/>
    <w:rsid w:val="005C7E95"/>
    <w:rsid w:val="005D0268"/>
    <w:rsid w:val="005D0787"/>
    <w:rsid w:val="005D141D"/>
    <w:rsid w:val="005D2525"/>
    <w:rsid w:val="005D2BC0"/>
    <w:rsid w:val="005D2F1D"/>
    <w:rsid w:val="005D32E9"/>
    <w:rsid w:val="005D434A"/>
    <w:rsid w:val="005D5C95"/>
    <w:rsid w:val="005D625C"/>
    <w:rsid w:val="005D63B0"/>
    <w:rsid w:val="005D75BD"/>
    <w:rsid w:val="005E00DF"/>
    <w:rsid w:val="005E0F4B"/>
    <w:rsid w:val="005E1A47"/>
    <w:rsid w:val="005E3192"/>
    <w:rsid w:val="005E3AF9"/>
    <w:rsid w:val="005E3B67"/>
    <w:rsid w:val="005E3E40"/>
    <w:rsid w:val="005E4BFB"/>
    <w:rsid w:val="005E7300"/>
    <w:rsid w:val="005E7CE6"/>
    <w:rsid w:val="005F1014"/>
    <w:rsid w:val="005F1600"/>
    <w:rsid w:val="005F1A19"/>
    <w:rsid w:val="005F2314"/>
    <w:rsid w:val="005F300F"/>
    <w:rsid w:val="005F33ED"/>
    <w:rsid w:val="005F428C"/>
    <w:rsid w:val="005F5BB4"/>
    <w:rsid w:val="005F5C3E"/>
    <w:rsid w:val="005F779B"/>
    <w:rsid w:val="005F7C34"/>
    <w:rsid w:val="0060132C"/>
    <w:rsid w:val="00602B74"/>
    <w:rsid w:val="0060346C"/>
    <w:rsid w:val="006041E0"/>
    <w:rsid w:val="00604E38"/>
    <w:rsid w:val="00604FBA"/>
    <w:rsid w:val="00605ABF"/>
    <w:rsid w:val="00605B67"/>
    <w:rsid w:val="00605DAC"/>
    <w:rsid w:val="0060732B"/>
    <w:rsid w:val="0060794B"/>
    <w:rsid w:val="00610A76"/>
    <w:rsid w:val="0061150B"/>
    <w:rsid w:val="006115DB"/>
    <w:rsid w:val="0061196F"/>
    <w:rsid w:val="00611A79"/>
    <w:rsid w:val="00611FF8"/>
    <w:rsid w:val="00612EE6"/>
    <w:rsid w:val="006144DE"/>
    <w:rsid w:val="00614DD6"/>
    <w:rsid w:val="00615193"/>
    <w:rsid w:val="006152DC"/>
    <w:rsid w:val="00615596"/>
    <w:rsid w:val="006158CD"/>
    <w:rsid w:val="00616153"/>
    <w:rsid w:val="006169A0"/>
    <w:rsid w:val="00616BD6"/>
    <w:rsid w:val="00617EB8"/>
    <w:rsid w:val="0062030A"/>
    <w:rsid w:val="00620726"/>
    <w:rsid w:val="0062153F"/>
    <w:rsid w:val="00621707"/>
    <w:rsid w:val="00621968"/>
    <w:rsid w:val="00621CD0"/>
    <w:rsid w:val="006228BD"/>
    <w:rsid w:val="00623F13"/>
    <w:rsid w:val="00626ABA"/>
    <w:rsid w:val="00626C53"/>
    <w:rsid w:val="006272D9"/>
    <w:rsid w:val="00627D12"/>
    <w:rsid w:val="00627FBA"/>
    <w:rsid w:val="0063174B"/>
    <w:rsid w:val="00631ECD"/>
    <w:rsid w:val="00632DCE"/>
    <w:rsid w:val="00632DD2"/>
    <w:rsid w:val="00633A07"/>
    <w:rsid w:val="0063406F"/>
    <w:rsid w:val="006349CF"/>
    <w:rsid w:val="00635F8F"/>
    <w:rsid w:val="00637160"/>
    <w:rsid w:val="00637701"/>
    <w:rsid w:val="0064070A"/>
    <w:rsid w:val="00640986"/>
    <w:rsid w:val="00640B83"/>
    <w:rsid w:val="006416E5"/>
    <w:rsid w:val="0064272D"/>
    <w:rsid w:val="00644165"/>
    <w:rsid w:val="00644A41"/>
    <w:rsid w:val="00644C88"/>
    <w:rsid w:val="00644D22"/>
    <w:rsid w:val="006462D5"/>
    <w:rsid w:val="00646F1D"/>
    <w:rsid w:val="00647412"/>
    <w:rsid w:val="00647D7A"/>
    <w:rsid w:val="006500EE"/>
    <w:rsid w:val="0065160C"/>
    <w:rsid w:val="00651991"/>
    <w:rsid w:val="00651B40"/>
    <w:rsid w:val="00652058"/>
    <w:rsid w:val="00652333"/>
    <w:rsid w:val="00653324"/>
    <w:rsid w:val="00654EE7"/>
    <w:rsid w:val="006552F8"/>
    <w:rsid w:val="006558E2"/>
    <w:rsid w:val="00655E5E"/>
    <w:rsid w:val="00656059"/>
    <w:rsid w:val="00657183"/>
    <w:rsid w:val="00657657"/>
    <w:rsid w:val="006579EA"/>
    <w:rsid w:val="006605B7"/>
    <w:rsid w:val="0066071F"/>
    <w:rsid w:val="0066094D"/>
    <w:rsid w:val="00660D23"/>
    <w:rsid w:val="006623DF"/>
    <w:rsid w:val="00664013"/>
    <w:rsid w:val="00664A60"/>
    <w:rsid w:val="00664DEC"/>
    <w:rsid w:val="00664EE9"/>
    <w:rsid w:val="00664F1D"/>
    <w:rsid w:val="00665651"/>
    <w:rsid w:val="00665655"/>
    <w:rsid w:val="0066589F"/>
    <w:rsid w:val="00665970"/>
    <w:rsid w:val="00666D2E"/>
    <w:rsid w:val="00666EF2"/>
    <w:rsid w:val="00667AC4"/>
    <w:rsid w:val="00670794"/>
    <w:rsid w:val="00670C1B"/>
    <w:rsid w:val="006717CD"/>
    <w:rsid w:val="0067269B"/>
    <w:rsid w:val="0067273D"/>
    <w:rsid w:val="00672B13"/>
    <w:rsid w:val="00672D61"/>
    <w:rsid w:val="00672F7C"/>
    <w:rsid w:val="00673479"/>
    <w:rsid w:val="0067417E"/>
    <w:rsid w:val="00674587"/>
    <w:rsid w:val="00674B98"/>
    <w:rsid w:val="006757D2"/>
    <w:rsid w:val="006767F8"/>
    <w:rsid w:val="00676BD2"/>
    <w:rsid w:val="00676CA1"/>
    <w:rsid w:val="00677D84"/>
    <w:rsid w:val="00680199"/>
    <w:rsid w:val="0068124C"/>
    <w:rsid w:val="00681549"/>
    <w:rsid w:val="00681D90"/>
    <w:rsid w:val="006822C9"/>
    <w:rsid w:val="00682315"/>
    <w:rsid w:val="00683672"/>
    <w:rsid w:val="00683886"/>
    <w:rsid w:val="00684361"/>
    <w:rsid w:val="00685477"/>
    <w:rsid w:val="006855A5"/>
    <w:rsid w:val="00686F61"/>
    <w:rsid w:val="00687C3B"/>
    <w:rsid w:val="006905B3"/>
    <w:rsid w:val="0069079F"/>
    <w:rsid w:val="00690AA8"/>
    <w:rsid w:val="00690BBE"/>
    <w:rsid w:val="00690CDA"/>
    <w:rsid w:val="006921D9"/>
    <w:rsid w:val="006936F4"/>
    <w:rsid w:val="00694CA4"/>
    <w:rsid w:val="006951D9"/>
    <w:rsid w:val="00696254"/>
    <w:rsid w:val="00697018"/>
    <w:rsid w:val="006974A1"/>
    <w:rsid w:val="006974D7"/>
    <w:rsid w:val="00697A7B"/>
    <w:rsid w:val="006A0010"/>
    <w:rsid w:val="006A085B"/>
    <w:rsid w:val="006A2AA1"/>
    <w:rsid w:val="006A2E25"/>
    <w:rsid w:val="006A38D6"/>
    <w:rsid w:val="006A3DB9"/>
    <w:rsid w:val="006A6224"/>
    <w:rsid w:val="006A76E2"/>
    <w:rsid w:val="006B041A"/>
    <w:rsid w:val="006B0713"/>
    <w:rsid w:val="006B176D"/>
    <w:rsid w:val="006B2012"/>
    <w:rsid w:val="006B24CA"/>
    <w:rsid w:val="006B2F34"/>
    <w:rsid w:val="006B36B5"/>
    <w:rsid w:val="006B3A6A"/>
    <w:rsid w:val="006B3CCE"/>
    <w:rsid w:val="006B45D3"/>
    <w:rsid w:val="006B4930"/>
    <w:rsid w:val="006B4D4D"/>
    <w:rsid w:val="006B560C"/>
    <w:rsid w:val="006B64E6"/>
    <w:rsid w:val="006B7239"/>
    <w:rsid w:val="006B770B"/>
    <w:rsid w:val="006B79C3"/>
    <w:rsid w:val="006C213E"/>
    <w:rsid w:val="006C2494"/>
    <w:rsid w:val="006C24B0"/>
    <w:rsid w:val="006C2606"/>
    <w:rsid w:val="006C26E3"/>
    <w:rsid w:val="006C2D1C"/>
    <w:rsid w:val="006C3328"/>
    <w:rsid w:val="006C33A4"/>
    <w:rsid w:val="006C39E6"/>
    <w:rsid w:val="006C3EA0"/>
    <w:rsid w:val="006C471F"/>
    <w:rsid w:val="006C49C4"/>
    <w:rsid w:val="006C4AE8"/>
    <w:rsid w:val="006C4EC3"/>
    <w:rsid w:val="006C5EB3"/>
    <w:rsid w:val="006C65F8"/>
    <w:rsid w:val="006C670C"/>
    <w:rsid w:val="006C6D9B"/>
    <w:rsid w:val="006D07E9"/>
    <w:rsid w:val="006D0F7D"/>
    <w:rsid w:val="006D12BA"/>
    <w:rsid w:val="006D2AD3"/>
    <w:rsid w:val="006D3D88"/>
    <w:rsid w:val="006D4F92"/>
    <w:rsid w:val="006D5241"/>
    <w:rsid w:val="006D67E8"/>
    <w:rsid w:val="006D6875"/>
    <w:rsid w:val="006D6942"/>
    <w:rsid w:val="006D6BDC"/>
    <w:rsid w:val="006D6E06"/>
    <w:rsid w:val="006D7FAB"/>
    <w:rsid w:val="006E1582"/>
    <w:rsid w:val="006E2223"/>
    <w:rsid w:val="006E2C55"/>
    <w:rsid w:val="006E3479"/>
    <w:rsid w:val="006E3601"/>
    <w:rsid w:val="006E36AA"/>
    <w:rsid w:val="006E3B7F"/>
    <w:rsid w:val="006E3EDA"/>
    <w:rsid w:val="006E4F9F"/>
    <w:rsid w:val="006E7970"/>
    <w:rsid w:val="006F03E8"/>
    <w:rsid w:val="006F0B92"/>
    <w:rsid w:val="006F11AF"/>
    <w:rsid w:val="006F1797"/>
    <w:rsid w:val="006F3652"/>
    <w:rsid w:val="006F3ABD"/>
    <w:rsid w:val="006F44E3"/>
    <w:rsid w:val="006F4D85"/>
    <w:rsid w:val="006F59BD"/>
    <w:rsid w:val="006F5C8D"/>
    <w:rsid w:val="006F63FC"/>
    <w:rsid w:val="006F6944"/>
    <w:rsid w:val="006F76DF"/>
    <w:rsid w:val="006F7BBC"/>
    <w:rsid w:val="006F7D61"/>
    <w:rsid w:val="007003BA"/>
    <w:rsid w:val="007006C6"/>
    <w:rsid w:val="00700F57"/>
    <w:rsid w:val="00701DC7"/>
    <w:rsid w:val="00702A01"/>
    <w:rsid w:val="007042A1"/>
    <w:rsid w:val="007048C2"/>
    <w:rsid w:val="00705036"/>
    <w:rsid w:val="0070514E"/>
    <w:rsid w:val="00705C40"/>
    <w:rsid w:val="00705D72"/>
    <w:rsid w:val="007063EA"/>
    <w:rsid w:val="00707383"/>
    <w:rsid w:val="0071007D"/>
    <w:rsid w:val="00710D22"/>
    <w:rsid w:val="007112C5"/>
    <w:rsid w:val="007115DE"/>
    <w:rsid w:val="00712834"/>
    <w:rsid w:val="00712EF9"/>
    <w:rsid w:val="0071325A"/>
    <w:rsid w:val="00713316"/>
    <w:rsid w:val="00713343"/>
    <w:rsid w:val="007135AE"/>
    <w:rsid w:val="00713A05"/>
    <w:rsid w:val="00713C01"/>
    <w:rsid w:val="00716032"/>
    <w:rsid w:val="00716FBA"/>
    <w:rsid w:val="00717D36"/>
    <w:rsid w:val="0072027B"/>
    <w:rsid w:val="00721227"/>
    <w:rsid w:val="00721B1C"/>
    <w:rsid w:val="00722705"/>
    <w:rsid w:val="00722D93"/>
    <w:rsid w:val="00723C94"/>
    <w:rsid w:val="00724660"/>
    <w:rsid w:val="00724716"/>
    <w:rsid w:val="00726492"/>
    <w:rsid w:val="007305DF"/>
    <w:rsid w:val="0073191A"/>
    <w:rsid w:val="007340D7"/>
    <w:rsid w:val="007343CC"/>
    <w:rsid w:val="0073567E"/>
    <w:rsid w:val="007358AB"/>
    <w:rsid w:val="0073654D"/>
    <w:rsid w:val="00736567"/>
    <w:rsid w:val="00736570"/>
    <w:rsid w:val="0073695E"/>
    <w:rsid w:val="007370A6"/>
    <w:rsid w:val="00737FF6"/>
    <w:rsid w:val="00740CF2"/>
    <w:rsid w:val="007419F0"/>
    <w:rsid w:val="00741F2F"/>
    <w:rsid w:val="00742F70"/>
    <w:rsid w:val="00744515"/>
    <w:rsid w:val="00744B79"/>
    <w:rsid w:val="00744E28"/>
    <w:rsid w:val="0074711A"/>
    <w:rsid w:val="00747240"/>
    <w:rsid w:val="00751133"/>
    <w:rsid w:val="00751662"/>
    <w:rsid w:val="007517E6"/>
    <w:rsid w:val="00751D4F"/>
    <w:rsid w:val="00752BD8"/>
    <w:rsid w:val="00753496"/>
    <w:rsid w:val="00755BB6"/>
    <w:rsid w:val="00755D96"/>
    <w:rsid w:val="007560F7"/>
    <w:rsid w:val="00756427"/>
    <w:rsid w:val="00756BE8"/>
    <w:rsid w:val="00760FF9"/>
    <w:rsid w:val="0076121A"/>
    <w:rsid w:val="00761F1B"/>
    <w:rsid w:val="007625B8"/>
    <w:rsid w:val="007629B5"/>
    <w:rsid w:val="00763706"/>
    <w:rsid w:val="0076551A"/>
    <w:rsid w:val="00765526"/>
    <w:rsid w:val="0076704A"/>
    <w:rsid w:val="0076774B"/>
    <w:rsid w:val="00767FBC"/>
    <w:rsid w:val="00771217"/>
    <w:rsid w:val="00771D08"/>
    <w:rsid w:val="00772BD1"/>
    <w:rsid w:val="00772E18"/>
    <w:rsid w:val="00772E89"/>
    <w:rsid w:val="00773320"/>
    <w:rsid w:val="0077351C"/>
    <w:rsid w:val="007738A5"/>
    <w:rsid w:val="00773ECE"/>
    <w:rsid w:val="007750A9"/>
    <w:rsid w:val="00775A8F"/>
    <w:rsid w:val="00775DE5"/>
    <w:rsid w:val="007762A2"/>
    <w:rsid w:val="0077630B"/>
    <w:rsid w:val="00776B2E"/>
    <w:rsid w:val="0077751C"/>
    <w:rsid w:val="00780C65"/>
    <w:rsid w:val="0078143D"/>
    <w:rsid w:val="0078259C"/>
    <w:rsid w:val="007828AA"/>
    <w:rsid w:val="007829F4"/>
    <w:rsid w:val="0078486A"/>
    <w:rsid w:val="00785F28"/>
    <w:rsid w:val="00786114"/>
    <w:rsid w:val="0078623B"/>
    <w:rsid w:val="00786EAF"/>
    <w:rsid w:val="007905AC"/>
    <w:rsid w:val="0079072E"/>
    <w:rsid w:val="00790AB3"/>
    <w:rsid w:val="00791861"/>
    <w:rsid w:val="0079225D"/>
    <w:rsid w:val="0079270A"/>
    <w:rsid w:val="00792843"/>
    <w:rsid w:val="00792899"/>
    <w:rsid w:val="00792916"/>
    <w:rsid w:val="00792E8F"/>
    <w:rsid w:val="00792FA1"/>
    <w:rsid w:val="00793E17"/>
    <w:rsid w:val="00794614"/>
    <w:rsid w:val="0079499A"/>
    <w:rsid w:val="00795830"/>
    <w:rsid w:val="00795C12"/>
    <w:rsid w:val="00795E93"/>
    <w:rsid w:val="007A0143"/>
    <w:rsid w:val="007A0D20"/>
    <w:rsid w:val="007A0E4F"/>
    <w:rsid w:val="007A1015"/>
    <w:rsid w:val="007A1DFF"/>
    <w:rsid w:val="007A2A16"/>
    <w:rsid w:val="007A2C74"/>
    <w:rsid w:val="007A3445"/>
    <w:rsid w:val="007A3455"/>
    <w:rsid w:val="007A4766"/>
    <w:rsid w:val="007A481D"/>
    <w:rsid w:val="007A504A"/>
    <w:rsid w:val="007A55D5"/>
    <w:rsid w:val="007A55F1"/>
    <w:rsid w:val="007A6363"/>
    <w:rsid w:val="007A6421"/>
    <w:rsid w:val="007A6C60"/>
    <w:rsid w:val="007A7608"/>
    <w:rsid w:val="007B0156"/>
    <w:rsid w:val="007B1D34"/>
    <w:rsid w:val="007B238C"/>
    <w:rsid w:val="007B2FC6"/>
    <w:rsid w:val="007B5019"/>
    <w:rsid w:val="007B566F"/>
    <w:rsid w:val="007B5B76"/>
    <w:rsid w:val="007B5F47"/>
    <w:rsid w:val="007B6A6B"/>
    <w:rsid w:val="007B6B99"/>
    <w:rsid w:val="007C030B"/>
    <w:rsid w:val="007C0FF7"/>
    <w:rsid w:val="007C1433"/>
    <w:rsid w:val="007C1481"/>
    <w:rsid w:val="007C17C6"/>
    <w:rsid w:val="007C1AE2"/>
    <w:rsid w:val="007C24CA"/>
    <w:rsid w:val="007C278E"/>
    <w:rsid w:val="007C3713"/>
    <w:rsid w:val="007C5246"/>
    <w:rsid w:val="007C53B3"/>
    <w:rsid w:val="007C5693"/>
    <w:rsid w:val="007C66D8"/>
    <w:rsid w:val="007C6A87"/>
    <w:rsid w:val="007C6E9F"/>
    <w:rsid w:val="007C7A07"/>
    <w:rsid w:val="007C7DF1"/>
    <w:rsid w:val="007C7FAB"/>
    <w:rsid w:val="007D03ED"/>
    <w:rsid w:val="007D0AD5"/>
    <w:rsid w:val="007D1290"/>
    <w:rsid w:val="007D1774"/>
    <w:rsid w:val="007D1A26"/>
    <w:rsid w:val="007D2374"/>
    <w:rsid w:val="007D2594"/>
    <w:rsid w:val="007D2DDE"/>
    <w:rsid w:val="007D3185"/>
    <w:rsid w:val="007D3A74"/>
    <w:rsid w:val="007D3AC2"/>
    <w:rsid w:val="007D4012"/>
    <w:rsid w:val="007D452C"/>
    <w:rsid w:val="007D48C1"/>
    <w:rsid w:val="007D4DB0"/>
    <w:rsid w:val="007D5CF2"/>
    <w:rsid w:val="007D642C"/>
    <w:rsid w:val="007D699A"/>
    <w:rsid w:val="007D7CE4"/>
    <w:rsid w:val="007E5BCC"/>
    <w:rsid w:val="007E5ED7"/>
    <w:rsid w:val="007E6245"/>
    <w:rsid w:val="007E672C"/>
    <w:rsid w:val="007E69AC"/>
    <w:rsid w:val="007E6A40"/>
    <w:rsid w:val="007E7757"/>
    <w:rsid w:val="007E7A96"/>
    <w:rsid w:val="007F0D43"/>
    <w:rsid w:val="007F1408"/>
    <w:rsid w:val="007F16EB"/>
    <w:rsid w:val="007F1726"/>
    <w:rsid w:val="007F2FBD"/>
    <w:rsid w:val="007F3A1E"/>
    <w:rsid w:val="007F3A27"/>
    <w:rsid w:val="007F3BED"/>
    <w:rsid w:val="007F4418"/>
    <w:rsid w:val="007F4D5A"/>
    <w:rsid w:val="007F4E2F"/>
    <w:rsid w:val="007F4FB9"/>
    <w:rsid w:val="007F5560"/>
    <w:rsid w:val="008001C9"/>
    <w:rsid w:val="008017E5"/>
    <w:rsid w:val="008021D0"/>
    <w:rsid w:val="0080468C"/>
    <w:rsid w:val="00804A8F"/>
    <w:rsid w:val="00804C5A"/>
    <w:rsid w:val="00806DE7"/>
    <w:rsid w:val="00806FED"/>
    <w:rsid w:val="00807101"/>
    <w:rsid w:val="008074F2"/>
    <w:rsid w:val="0081056D"/>
    <w:rsid w:val="008108CF"/>
    <w:rsid w:val="00810F8E"/>
    <w:rsid w:val="00811AF9"/>
    <w:rsid w:val="00811C47"/>
    <w:rsid w:val="00813FEE"/>
    <w:rsid w:val="00816809"/>
    <w:rsid w:val="00816F0A"/>
    <w:rsid w:val="00817B12"/>
    <w:rsid w:val="0082049D"/>
    <w:rsid w:val="00820F85"/>
    <w:rsid w:val="0082166A"/>
    <w:rsid w:val="00822548"/>
    <w:rsid w:val="00824507"/>
    <w:rsid w:val="0082473F"/>
    <w:rsid w:val="008248D1"/>
    <w:rsid w:val="00824A0E"/>
    <w:rsid w:val="00824A8C"/>
    <w:rsid w:val="00825661"/>
    <w:rsid w:val="0082737B"/>
    <w:rsid w:val="00830630"/>
    <w:rsid w:val="00830BD5"/>
    <w:rsid w:val="00831E92"/>
    <w:rsid w:val="00832512"/>
    <w:rsid w:val="00832780"/>
    <w:rsid w:val="0083310B"/>
    <w:rsid w:val="0083433D"/>
    <w:rsid w:val="00834BD7"/>
    <w:rsid w:val="00834F3A"/>
    <w:rsid w:val="00835D1D"/>
    <w:rsid w:val="00836500"/>
    <w:rsid w:val="008401FD"/>
    <w:rsid w:val="0084059F"/>
    <w:rsid w:val="0084091C"/>
    <w:rsid w:val="008415F0"/>
    <w:rsid w:val="008422FA"/>
    <w:rsid w:val="008453E8"/>
    <w:rsid w:val="00845668"/>
    <w:rsid w:val="008459A7"/>
    <w:rsid w:val="00845E0F"/>
    <w:rsid w:val="008470EC"/>
    <w:rsid w:val="00850293"/>
    <w:rsid w:val="00850B6C"/>
    <w:rsid w:val="00851982"/>
    <w:rsid w:val="00851BC6"/>
    <w:rsid w:val="00851C9B"/>
    <w:rsid w:val="00852799"/>
    <w:rsid w:val="0085388C"/>
    <w:rsid w:val="0085433D"/>
    <w:rsid w:val="008544F6"/>
    <w:rsid w:val="008558C4"/>
    <w:rsid w:val="00855FFC"/>
    <w:rsid w:val="00856AD2"/>
    <w:rsid w:val="00857422"/>
    <w:rsid w:val="0086013C"/>
    <w:rsid w:val="0086305E"/>
    <w:rsid w:val="00863188"/>
    <w:rsid w:val="00863C21"/>
    <w:rsid w:val="008640E7"/>
    <w:rsid w:val="00865B58"/>
    <w:rsid w:val="00866881"/>
    <w:rsid w:val="00866D90"/>
    <w:rsid w:val="00866EF1"/>
    <w:rsid w:val="008679AE"/>
    <w:rsid w:val="00870122"/>
    <w:rsid w:val="00870B3D"/>
    <w:rsid w:val="00871917"/>
    <w:rsid w:val="00871B49"/>
    <w:rsid w:val="00871C18"/>
    <w:rsid w:val="00872F83"/>
    <w:rsid w:val="0087315B"/>
    <w:rsid w:val="0087380B"/>
    <w:rsid w:val="00873954"/>
    <w:rsid w:val="008739A1"/>
    <w:rsid w:val="00873A99"/>
    <w:rsid w:val="008744EB"/>
    <w:rsid w:val="00874502"/>
    <w:rsid w:val="00880175"/>
    <w:rsid w:val="008806ED"/>
    <w:rsid w:val="00881698"/>
    <w:rsid w:val="008827A0"/>
    <w:rsid w:val="00882FA7"/>
    <w:rsid w:val="008839C4"/>
    <w:rsid w:val="0088410D"/>
    <w:rsid w:val="00884906"/>
    <w:rsid w:val="00884962"/>
    <w:rsid w:val="00884EEA"/>
    <w:rsid w:val="008850DD"/>
    <w:rsid w:val="00886239"/>
    <w:rsid w:val="00886F61"/>
    <w:rsid w:val="008903C4"/>
    <w:rsid w:val="00890523"/>
    <w:rsid w:val="00892D6C"/>
    <w:rsid w:val="00893CFE"/>
    <w:rsid w:val="00895075"/>
    <w:rsid w:val="00896C23"/>
    <w:rsid w:val="00896CBF"/>
    <w:rsid w:val="00896E8A"/>
    <w:rsid w:val="00896EA4"/>
    <w:rsid w:val="008A1ABE"/>
    <w:rsid w:val="008A1C98"/>
    <w:rsid w:val="008A1D65"/>
    <w:rsid w:val="008A222B"/>
    <w:rsid w:val="008A2422"/>
    <w:rsid w:val="008A2833"/>
    <w:rsid w:val="008A3282"/>
    <w:rsid w:val="008A3DF5"/>
    <w:rsid w:val="008A4E72"/>
    <w:rsid w:val="008A6CDD"/>
    <w:rsid w:val="008A6E4B"/>
    <w:rsid w:val="008B0750"/>
    <w:rsid w:val="008B1FC3"/>
    <w:rsid w:val="008B34B7"/>
    <w:rsid w:val="008B3C0E"/>
    <w:rsid w:val="008B4087"/>
    <w:rsid w:val="008B5F6B"/>
    <w:rsid w:val="008B62B5"/>
    <w:rsid w:val="008B7FC5"/>
    <w:rsid w:val="008C0D4C"/>
    <w:rsid w:val="008C34B4"/>
    <w:rsid w:val="008C38D7"/>
    <w:rsid w:val="008C44F0"/>
    <w:rsid w:val="008C59ED"/>
    <w:rsid w:val="008C660B"/>
    <w:rsid w:val="008C6B07"/>
    <w:rsid w:val="008C741B"/>
    <w:rsid w:val="008D39CB"/>
    <w:rsid w:val="008D3E05"/>
    <w:rsid w:val="008D3F33"/>
    <w:rsid w:val="008D4306"/>
    <w:rsid w:val="008D4472"/>
    <w:rsid w:val="008D44FC"/>
    <w:rsid w:val="008D4E65"/>
    <w:rsid w:val="008D54BD"/>
    <w:rsid w:val="008D5733"/>
    <w:rsid w:val="008D6384"/>
    <w:rsid w:val="008D6542"/>
    <w:rsid w:val="008D662D"/>
    <w:rsid w:val="008D6A83"/>
    <w:rsid w:val="008D7842"/>
    <w:rsid w:val="008E09D1"/>
    <w:rsid w:val="008E1213"/>
    <w:rsid w:val="008E147E"/>
    <w:rsid w:val="008E25CB"/>
    <w:rsid w:val="008E2E3C"/>
    <w:rsid w:val="008E487D"/>
    <w:rsid w:val="008E4C8F"/>
    <w:rsid w:val="008E5288"/>
    <w:rsid w:val="008E557D"/>
    <w:rsid w:val="008E5918"/>
    <w:rsid w:val="008E5B97"/>
    <w:rsid w:val="008E5BF1"/>
    <w:rsid w:val="008E633D"/>
    <w:rsid w:val="008E6864"/>
    <w:rsid w:val="008F03D1"/>
    <w:rsid w:val="008F06A5"/>
    <w:rsid w:val="008F0E53"/>
    <w:rsid w:val="008F13FF"/>
    <w:rsid w:val="008F2233"/>
    <w:rsid w:val="008F2ACE"/>
    <w:rsid w:val="008F55D9"/>
    <w:rsid w:val="008F64BB"/>
    <w:rsid w:val="008F7061"/>
    <w:rsid w:val="008F7D66"/>
    <w:rsid w:val="0090091F"/>
    <w:rsid w:val="009013A8"/>
    <w:rsid w:val="009017E2"/>
    <w:rsid w:val="00901B34"/>
    <w:rsid w:val="009024C7"/>
    <w:rsid w:val="0090255F"/>
    <w:rsid w:val="009025A4"/>
    <w:rsid w:val="009026F3"/>
    <w:rsid w:val="00903D87"/>
    <w:rsid w:val="00904491"/>
    <w:rsid w:val="009044DB"/>
    <w:rsid w:val="00904AE7"/>
    <w:rsid w:val="00904FCD"/>
    <w:rsid w:val="00906669"/>
    <w:rsid w:val="009075AE"/>
    <w:rsid w:val="00907B4D"/>
    <w:rsid w:val="009103EE"/>
    <w:rsid w:val="00912A5E"/>
    <w:rsid w:val="00913AA1"/>
    <w:rsid w:val="009145EB"/>
    <w:rsid w:val="00916B17"/>
    <w:rsid w:val="00916D37"/>
    <w:rsid w:val="0091700F"/>
    <w:rsid w:val="009177F0"/>
    <w:rsid w:val="00917805"/>
    <w:rsid w:val="009178BE"/>
    <w:rsid w:val="00917B8C"/>
    <w:rsid w:val="00917C42"/>
    <w:rsid w:val="00917D92"/>
    <w:rsid w:val="0092192D"/>
    <w:rsid w:val="009219D9"/>
    <w:rsid w:val="00921BD8"/>
    <w:rsid w:val="009220B6"/>
    <w:rsid w:val="0092263B"/>
    <w:rsid w:val="00922974"/>
    <w:rsid w:val="009229EF"/>
    <w:rsid w:val="009230B1"/>
    <w:rsid w:val="00923970"/>
    <w:rsid w:val="00923AE1"/>
    <w:rsid w:val="00924AFA"/>
    <w:rsid w:val="00925712"/>
    <w:rsid w:val="00926574"/>
    <w:rsid w:val="00927361"/>
    <w:rsid w:val="00927BF9"/>
    <w:rsid w:val="00927FA2"/>
    <w:rsid w:val="00931150"/>
    <w:rsid w:val="0093130D"/>
    <w:rsid w:val="00931D86"/>
    <w:rsid w:val="00931DC0"/>
    <w:rsid w:val="009320A1"/>
    <w:rsid w:val="0093259F"/>
    <w:rsid w:val="009337D7"/>
    <w:rsid w:val="00933806"/>
    <w:rsid w:val="0093571A"/>
    <w:rsid w:val="00935901"/>
    <w:rsid w:val="00936E1D"/>
    <w:rsid w:val="00936E64"/>
    <w:rsid w:val="00940681"/>
    <w:rsid w:val="00941753"/>
    <w:rsid w:val="00942AB3"/>
    <w:rsid w:val="00943FD0"/>
    <w:rsid w:val="00944616"/>
    <w:rsid w:val="00944A81"/>
    <w:rsid w:val="009466A2"/>
    <w:rsid w:val="00946D55"/>
    <w:rsid w:val="0094700C"/>
    <w:rsid w:val="00947410"/>
    <w:rsid w:val="00950612"/>
    <w:rsid w:val="009506C7"/>
    <w:rsid w:val="00951C29"/>
    <w:rsid w:val="00952750"/>
    <w:rsid w:val="009529F8"/>
    <w:rsid w:val="00952B6D"/>
    <w:rsid w:val="0095322F"/>
    <w:rsid w:val="0095388E"/>
    <w:rsid w:val="00954553"/>
    <w:rsid w:val="0095663C"/>
    <w:rsid w:val="009571AE"/>
    <w:rsid w:val="009574BC"/>
    <w:rsid w:val="00957B49"/>
    <w:rsid w:val="00957DAD"/>
    <w:rsid w:val="00960196"/>
    <w:rsid w:val="00960411"/>
    <w:rsid w:val="009609A8"/>
    <w:rsid w:val="00960A60"/>
    <w:rsid w:val="00960C1D"/>
    <w:rsid w:val="00960E7F"/>
    <w:rsid w:val="00961987"/>
    <w:rsid w:val="009620A2"/>
    <w:rsid w:val="00962E48"/>
    <w:rsid w:val="009630D6"/>
    <w:rsid w:val="00963DE3"/>
    <w:rsid w:val="00964631"/>
    <w:rsid w:val="00965033"/>
    <w:rsid w:val="00965AF5"/>
    <w:rsid w:val="0096664F"/>
    <w:rsid w:val="009672F4"/>
    <w:rsid w:val="009677C0"/>
    <w:rsid w:val="009677E0"/>
    <w:rsid w:val="00970455"/>
    <w:rsid w:val="00970521"/>
    <w:rsid w:val="009709D6"/>
    <w:rsid w:val="009721E2"/>
    <w:rsid w:val="00972715"/>
    <w:rsid w:val="00972B6A"/>
    <w:rsid w:val="009731B8"/>
    <w:rsid w:val="009732B8"/>
    <w:rsid w:val="009739C4"/>
    <w:rsid w:val="00974097"/>
    <w:rsid w:val="009743E6"/>
    <w:rsid w:val="009743F2"/>
    <w:rsid w:val="009748CF"/>
    <w:rsid w:val="00974B57"/>
    <w:rsid w:val="00975068"/>
    <w:rsid w:val="009759C8"/>
    <w:rsid w:val="00975B63"/>
    <w:rsid w:val="00975C77"/>
    <w:rsid w:val="009807A9"/>
    <w:rsid w:val="00980FC8"/>
    <w:rsid w:val="0098179D"/>
    <w:rsid w:val="009827A5"/>
    <w:rsid w:val="0098282C"/>
    <w:rsid w:val="00983387"/>
    <w:rsid w:val="00983AC5"/>
    <w:rsid w:val="00983EEF"/>
    <w:rsid w:val="009841AE"/>
    <w:rsid w:val="009842F5"/>
    <w:rsid w:val="00984A07"/>
    <w:rsid w:val="00984BE6"/>
    <w:rsid w:val="00984CD3"/>
    <w:rsid w:val="00984F6B"/>
    <w:rsid w:val="00985111"/>
    <w:rsid w:val="00985D6F"/>
    <w:rsid w:val="009907BD"/>
    <w:rsid w:val="00990C15"/>
    <w:rsid w:val="00991286"/>
    <w:rsid w:val="009923F4"/>
    <w:rsid w:val="00992623"/>
    <w:rsid w:val="00992A38"/>
    <w:rsid w:val="0099353D"/>
    <w:rsid w:val="00993B33"/>
    <w:rsid w:val="00994226"/>
    <w:rsid w:val="009944F4"/>
    <w:rsid w:val="00994914"/>
    <w:rsid w:val="009954E2"/>
    <w:rsid w:val="00996534"/>
    <w:rsid w:val="00996AD2"/>
    <w:rsid w:val="009978AB"/>
    <w:rsid w:val="00997E2D"/>
    <w:rsid w:val="009A01A0"/>
    <w:rsid w:val="009A0EC5"/>
    <w:rsid w:val="009A34F6"/>
    <w:rsid w:val="009A37D5"/>
    <w:rsid w:val="009A5D0D"/>
    <w:rsid w:val="009A6A93"/>
    <w:rsid w:val="009A7095"/>
    <w:rsid w:val="009A7E8B"/>
    <w:rsid w:val="009B05F6"/>
    <w:rsid w:val="009B0865"/>
    <w:rsid w:val="009B2EB4"/>
    <w:rsid w:val="009B32F1"/>
    <w:rsid w:val="009B3AE7"/>
    <w:rsid w:val="009B4304"/>
    <w:rsid w:val="009B432D"/>
    <w:rsid w:val="009B503F"/>
    <w:rsid w:val="009B5B42"/>
    <w:rsid w:val="009B6C77"/>
    <w:rsid w:val="009B6E88"/>
    <w:rsid w:val="009B7393"/>
    <w:rsid w:val="009B7DAD"/>
    <w:rsid w:val="009C0290"/>
    <w:rsid w:val="009C296D"/>
    <w:rsid w:val="009C29A8"/>
    <w:rsid w:val="009C2ECC"/>
    <w:rsid w:val="009C3630"/>
    <w:rsid w:val="009C3683"/>
    <w:rsid w:val="009C3977"/>
    <w:rsid w:val="009C4121"/>
    <w:rsid w:val="009C4D1B"/>
    <w:rsid w:val="009C5F57"/>
    <w:rsid w:val="009C615E"/>
    <w:rsid w:val="009C6AA1"/>
    <w:rsid w:val="009C76F9"/>
    <w:rsid w:val="009D2019"/>
    <w:rsid w:val="009D234B"/>
    <w:rsid w:val="009D3878"/>
    <w:rsid w:val="009D4371"/>
    <w:rsid w:val="009D4C72"/>
    <w:rsid w:val="009D74BD"/>
    <w:rsid w:val="009E10A0"/>
    <w:rsid w:val="009E138C"/>
    <w:rsid w:val="009E18D6"/>
    <w:rsid w:val="009E20E2"/>
    <w:rsid w:val="009E2D2B"/>
    <w:rsid w:val="009E3193"/>
    <w:rsid w:val="009E4438"/>
    <w:rsid w:val="009E4439"/>
    <w:rsid w:val="009E4519"/>
    <w:rsid w:val="009E4D5D"/>
    <w:rsid w:val="009E4E91"/>
    <w:rsid w:val="009E5FBC"/>
    <w:rsid w:val="009E684B"/>
    <w:rsid w:val="009F1193"/>
    <w:rsid w:val="009F185E"/>
    <w:rsid w:val="009F2329"/>
    <w:rsid w:val="009F2354"/>
    <w:rsid w:val="009F28C7"/>
    <w:rsid w:val="009F28DA"/>
    <w:rsid w:val="009F2C89"/>
    <w:rsid w:val="009F2DDA"/>
    <w:rsid w:val="009F570F"/>
    <w:rsid w:val="009F5EE8"/>
    <w:rsid w:val="009F5F5F"/>
    <w:rsid w:val="00A022A8"/>
    <w:rsid w:val="00A0550F"/>
    <w:rsid w:val="00A055C5"/>
    <w:rsid w:val="00A07200"/>
    <w:rsid w:val="00A07324"/>
    <w:rsid w:val="00A07A43"/>
    <w:rsid w:val="00A07F39"/>
    <w:rsid w:val="00A127B7"/>
    <w:rsid w:val="00A137A0"/>
    <w:rsid w:val="00A15BB1"/>
    <w:rsid w:val="00A16B4D"/>
    <w:rsid w:val="00A16C4F"/>
    <w:rsid w:val="00A176C4"/>
    <w:rsid w:val="00A1788C"/>
    <w:rsid w:val="00A21E9C"/>
    <w:rsid w:val="00A22834"/>
    <w:rsid w:val="00A233F2"/>
    <w:rsid w:val="00A23D9E"/>
    <w:rsid w:val="00A2417B"/>
    <w:rsid w:val="00A2454C"/>
    <w:rsid w:val="00A247E4"/>
    <w:rsid w:val="00A2532F"/>
    <w:rsid w:val="00A27DBF"/>
    <w:rsid w:val="00A27F59"/>
    <w:rsid w:val="00A302BB"/>
    <w:rsid w:val="00A3224A"/>
    <w:rsid w:val="00A32365"/>
    <w:rsid w:val="00A34E1E"/>
    <w:rsid w:val="00A351F3"/>
    <w:rsid w:val="00A35BBB"/>
    <w:rsid w:val="00A35D37"/>
    <w:rsid w:val="00A35FB5"/>
    <w:rsid w:val="00A36372"/>
    <w:rsid w:val="00A36975"/>
    <w:rsid w:val="00A379BA"/>
    <w:rsid w:val="00A40429"/>
    <w:rsid w:val="00A4072A"/>
    <w:rsid w:val="00A4084E"/>
    <w:rsid w:val="00A40AFE"/>
    <w:rsid w:val="00A4116F"/>
    <w:rsid w:val="00A42099"/>
    <w:rsid w:val="00A427E0"/>
    <w:rsid w:val="00A42D26"/>
    <w:rsid w:val="00A44ED5"/>
    <w:rsid w:val="00A452F1"/>
    <w:rsid w:val="00A453F2"/>
    <w:rsid w:val="00A45F24"/>
    <w:rsid w:val="00A46240"/>
    <w:rsid w:val="00A47317"/>
    <w:rsid w:val="00A47471"/>
    <w:rsid w:val="00A50E1C"/>
    <w:rsid w:val="00A50F73"/>
    <w:rsid w:val="00A50FF8"/>
    <w:rsid w:val="00A51215"/>
    <w:rsid w:val="00A51667"/>
    <w:rsid w:val="00A51B9E"/>
    <w:rsid w:val="00A52F3C"/>
    <w:rsid w:val="00A52F76"/>
    <w:rsid w:val="00A541CE"/>
    <w:rsid w:val="00A547C8"/>
    <w:rsid w:val="00A54A1D"/>
    <w:rsid w:val="00A600CD"/>
    <w:rsid w:val="00A607DC"/>
    <w:rsid w:val="00A60D78"/>
    <w:rsid w:val="00A610EB"/>
    <w:rsid w:val="00A62A7F"/>
    <w:rsid w:val="00A62C7F"/>
    <w:rsid w:val="00A62E5D"/>
    <w:rsid w:val="00A634F7"/>
    <w:rsid w:val="00A63B99"/>
    <w:rsid w:val="00A63DBC"/>
    <w:rsid w:val="00A640E9"/>
    <w:rsid w:val="00A6431B"/>
    <w:rsid w:val="00A65BE4"/>
    <w:rsid w:val="00A6605F"/>
    <w:rsid w:val="00A70251"/>
    <w:rsid w:val="00A70331"/>
    <w:rsid w:val="00A70E16"/>
    <w:rsid w:val="00A7167E"/>
    <w:rsid w:val="00A71E62"/>
    <w:rsid w:val="00A720ED"/>
    <w:rsid w:val="00A721F1"/>
    <w:rsid w:val="00A732D0"/>
    <w:rsid w:val="00A74BA1"/>
    <w:rsid w:val="00A768BB"/>
    <w:rsid w:val="00A769B6"/>
    <w:rsid w:val="00A7704A"/>
    <w:rsid w:val="00A77080"/>
    <w:rsid w:val="00A80E07"/>
    <w:rsid w:val="00A81272"/>
    <w:rsid w:val="00A81B3D"/>
    <w:rsid w:val="00A81EB1"/>
    <w:rsid w:val="00A82594"/>
    <w:rsid w:val="00A82AD1"/>
    <w:rsid w:val="00A82EC3"/>
    <w:rsid w:val="00A82FCF"/>
    <w:rsid w:val="00A86EB3"/>
    <w:rsid w:val="00A87036"/>
    <w:rsid w:val="00A901B5"/>
    <w:rsid w:val="00A91FD5"/>
    <w:rsid w:val="00A92267"/>
    <w:rsid w:val="00A92961"/>
    <w:rsid w:val="00A92FEF"/>
    <w:rsid w:val="00A9333B"/>
    <w:rsid w:val="00A954E4"/>
    <w:rsid w:val="00A960CC"/>
    <w:rsid w:val="00A96ABB"/>
    <w:rsid w:val="00A96FE0"/>
    <w:rsid w:val="00A972FE"/>
    <w:rsid w:val="00AA05CC"/>
    <w:rsid w:val="00AA0620"/>
    <w:rsid w:val="00AA0B47"/>
    <w:rsid w:val="00AA0F0B"/>
    <w:rsid w:val="00AA1102"/>
    <w:rsid w:val="00AA13E8"/>
    <w:rsid w:val="00AA1A17"/>
    <w:rsid w:val="00AA1D01"/>
    <w:rsid w:val="00AA1F6D"/>
    <w:rsid w:val="00AA22D4"/>
    <w:rsid w:val="00AA24C3"/>
    <w:rsid w:val="00AA314D"/>
    <w:rsid w:val="00AA3876"/>
    <w:rsid w:val="00AA3BC4"/>
    <w:rsid w:val="00AA3C9C"/>
    <w:rsid w:val="00AA45FE"/>
    <w:rsid w:val="00AA4A7D"/>
    <w:rsid w:val="00AA5B0C"/>
    <w:rsid w:val="00AA5DF1"/>
    <w:rsid w:val="00AA604D"/>
    <w:rsid w:val="00AA62A4"/>
    <w:rsid w:val="00AB061C"/>
    <w:rsid w:val="00AB066C"/>
    <w:rsid w:val="00AB0DDE"/>
    <w:rsid w:val="00AB1E33"/>
    <w:rsid w:val="00AB38C0"/>
    <w:rsid w:val="00AB49A4"/>
    <w:rsid w:val="00AB576A"/>
    <w:rsid w:val="00AB5CE2"/>
    <w:rsid w:val="00AB6308"/>
    <w:rsid w:val="00AB73EB"/>
    <w:rsid w:val="00AB7487"/>
    <w:rsid w:val="00AC0B1E"/>
    <w:rsid w:val="00AC1EFC"/>
    <w:rsid w:val="00AC4CA0"/>
    <w:rsid w:val="00AC4E27"/>
    <w:rsid w:val="00AC57DB"/>
    <w:rsid w:val="00AC58D6"/>
    <w:rsid w:val="00AC671C"/>
    <w:rsid w:val="00AC6A68"/>
    <w:rsid w:val="00AC6D7F"/>
    <w:rsid w:val="00AC7586"/>
    <w:rsid w:val="00AD12AE"/>
    <w:rsid w:val="00AD174C"/>
    <w:rsid w:val="00AD1B78"/>
    <w:rsid w:val="00AD2581"/>
    <w:rsid w:val="00AD260F"/>
    <w:rsid w:val="00AD4F52"/>
    <w:rsid w:val="00AD5B81"/>
    <w:rsid w:val="00AD5E60"/>
    <w:rsid w:val="00AD664B"/>
    <w:rsid w:val="00AD770D"/>
    <w:rsid w:val="00AD785F"/>
    <w:rsid w:val="00AD7DDF"/>
    <w:rsid w:val="00AE01FD"/>
    <w:rsid w:val="00AE06FF"/>
    <w:rsid w:val="00AE096E"/>
    <w:rsid w:val="00AE0FEA"/>
    <w:rsid w:val="00AE18FC"/>
    <w:rsid w:val="00AE1AD3"/>
    <w:rsid w:val="00AE2FB5"/>
    <w:rsid w:val="00AE3C60"/>
    <w:rsid w:val="00AE5280"/>
    <w:rsid w:val="00AE5579"/>
    <w:rsid w:val="00AE5774"/>
    <w:rsid w:val="00AE5ED5"/>
    <w:rsid w:val="00AE5EF9"/>
    <w:rsid w:val="00AE687E"/>
    <w:rsid w:val="00AE78A7"/>
    <w:rsid w:val="00AE7929"/>
    <w:rsid w:val="00AF1731"/>
    <w:rsid w:val="00AF287A"/>
    <w:rsid w:val="00AF2A1E"/>
    <w:rsid w:val="00AF4754"/>
    <w:rsid w:val="00AF5676"/>
    <w:rsid w:val="00AF5901"/>
    <w:rsid w:val="00AF5978"/>
    <w:rsid w:val="00AF5D2C"/>
    <w:rsid w:val="00AF6026"/>
    <w:rsid w:val="00AF61A5"/>
    <w:rsid w:val="00AF65FB"/>
    <w:rsid w:val="00AF69A5"/>
    <w:rsid w:val="00AF7E39"/>
    <w:rsid w:val="00B01179"/>
    <w:rsid w:val="00B01266"/>
    <w:rsid w:val="00B01300"/>
    <w:rsid w:val="00B013BA"/>
    <w:rsid w:val="00B0348E"/>
    <w:rsid w:val="00B042A2"/>
    <w:rsid w:val="00B05C4C"/>
    <w:rsid w:val="00B060A3"/>
    <w:rsid w:val="00B06568"/>
    <w:rsid w:val="00B0767E"/>
    <w:rsid w:val="00B109DB"/>
    <w:rsid w:val="00B11021"/>
    <w:rsid w:val="00B112A3"/>
    <w:rsid w:val="00B12955"/>
    <w:rsid w:val="00B12A2C"/>
    <w:rsid w:val="00B1317F"/>
    <w:rsid w:val="00B131C0"/>
    <w:rsid w:val="00B137E6"/>
    <w:rsid w:val="00B13E97"/>
    <w:rsid w:val="00B142C7"/>
    <w:rsid w:val="00B14583"/>
    <w:rsid w:val="00B14ED4"/>
    <w:rsid w:val="00B1590D"/>
    <w:rsid w:val="00B15988"/>
    <w:rsid w:val="00B15A65"/>
    <w:rsid w:val="00B168C9"/>
    <w:rsid w:val="00B20C56"/>
    <w:rsid w:val="00B211EB"/>
    <w:rsid w:val="00B220B3"/>
    <w:rsid w:val="00B22733"/>
    <w:rsid w:val="00B22AF6"/>
    <w:rsid w:val="00B22B41"/>
    <w:rsid w:val="00B2309C"/>
    <w:rsid w:val="00B235A7"/>
    <w:rsid w:val="00B23D40"/>
    <w:rsid w:val="00B24D3B"/>
    <w:rsid w:val="00B24DF1"/>
    <w:rsid w:val="00B25700"/>
    <w:rsid w:val="00B25D3E"/>
    <w:rsid w:val="00B277A2"/>
    <w:rsid w:val="00B27893"/>
    <w:rsid w:val="00B32179"/>
    <w:rsid w:val="00B330ED"/>
    <w:rsid w:val="00B33123"/>
    <w:rsid w:val="00B33802"/>
    <w:rsid w:val="00B34464"/>
    <w:rsid w:val="00B34E8F"/>
    <w:rsid w:val="00B360C0"/>
    <w:rsid w:val="00B36C31"/>
    <w:rsid w:val="00B3778A"/>
    <w:rsid w:val="00B37EE1"/>
    <w:rsid w:val="00B40205"/>
    <w:rsid w:val="00B40846"/>
    <w:rsid w:val="00B40D43"/>
    <w:rsid w:val="00B41023"/>
    <w:rsid w:val="00B41F03"/>
    <w:rsid w:val="00B4229B"/>
    <w:rsid w:val="00B42338"/>
    <w:rsid w:val="00B4330F"/>
    <w:rsid w:val="00B439C1"/>
    <w:rsid w:val="00B43A73"/>
    <w:rsid w:val="00B45638"/>
    <w:rsid w:val="00B4719A"/>
    <w:rsid w:val="00B474FE"/>
    <w:rsid w:val="00B50929"/>
    <w:rsid w:val="00B515F7"/>
    <w:rsid w:val="00B51A5F"/>
    <w:rsid w:val="00B52658"/>
    <w:rsid w:val="00B53CF4"/>
    <w:rsid w:val="00B552C6"/>
    <w:rsid w:val="00B557FD"/>
    <w:rsid w:val="00B5656D"/>
    <w:rsid w:val="00B566ED"/>
    <w:rsid w:val="00B56AAC"/>
    <w:rsid w:val="00B5718C"/>
    <w:rsid w:val="00B572BB"/>
    <w:rsid w:val="00B57C6B"/>
    <w:rsid w:val="00B6031C"/>
    <w:rsid w:val="00B60906"/>
    <w:rsid w:val="00B60FF4"/>
    <w:rsid w:val="00B61EA6"/>
    <w:rsid w:val="00B626C4"/>
    <w:rsid w:val="00B634D1"/>
    <w:rsid w:val="00B64D39"/>
    <w:rsid w:val="00B668EC"/>
    <w:rsid w:val="00B66D1D"/>
    <w:rsid w:val="00B70497"/>
    <w:rsid w:val="00B704CE"/>
    <w:rsid w:val="00B705C3"/>
    <w:rsid w:val="00B70CA1"/>
    <w:rsid w:val="00B7124B"/>
    <w:rsid w:val="00B7160D"/>
    <w:rsid w:val="00B7184C"/>
    <w:rsid w:val="00B72F67"/>
    <w:rsid w:val="00B75A57"/>
    <w:rsid w:val="00B76475"/>
    <w:rsid w:val="00B765C0"/>
    <w:rsid w:val="00B77BBE"/>
    <w:rsid w:val="00B80850"/>
    <w:rsid w:val="00B815DC"/>
    <w:rsid w:val="00B822B3"/>
    <w:rsid w:val="00B83BC7"/>
    <w:rsid w:val="00B84AC3"/>
    <w:rsid w:val="00B84D82"/>
    <w:rsid w:val="00B85E52"/>
    <w:rsid w:val="00B8786E"/>
    <w:rsid w:val="00B8791D"/>
    <w:rsid w:val="00B90647"/>
    <w:rsid w:val="00B90800"/>
    <w:rsid w:val="00B90921"/>
    <w:rsid w:val="00B90B92"/>
    <w:rsid w:val="00B91039"/>
    <w:rsid w:val="00B9126A"/>
    <w:rsid w:val="00B9134E"/>
    <w:rsid w:val="00B927C6"/>
    <w:rsid w:val="00B928A6"/>
    <w:rsid w:val="00B93668"/>
    <w:rsid w:val="00B93BF5"/>
    <w:rsid w:val="00B93C2E"/>
    <w:rsid w:val="00B9470D"/>
    <w:rsid w:val="00B950DD"/>
    <w:rsid w:val="00B952E9"/>
    <w:rsid w:val="00B95488"/>
    <w:rsid w:val="00BA0610"/>
    <w:rsid w:val="00BA26BC"/>
    <w:rsid w:val="00BA2A23"/>
    <w:rsid w:val="00BA31F2"/>
    <w:rsid w:val="00BA4481"/>
    <w:rsid w:val="00BA4558"/>
    <w:rsid w:val="00BA5C15"/>
    <w:rsid w:val="00BA5D59"/>
    <w:rsid w:val="00BA6574"/>
    <w:rsid w:val="00BA68B4"/>
    <w:rsid w:val="00BB00C1"/>
    <w:rsid w:val="00BB0DB1"/>
    <w:rsid w:val="00BB18C2"/>
    <w:rsid w:val="00BB2E30"/>
    <w:rsid w:val="00BB3692"/>
    <w:rsid w:val="00BB403F"/>
    <w:rsid w:val="00BB46CB"/>
    <w:rsid w:val="00BB4B1B"/>
    <w:rsid w:val="00BB4B63"/>
    <w:rsid w:val="00BB4D29"/>
    <w:rsid w:val="00BB521C"/>
    <w:rsid w:val="00BB5351"/>
    <w:rsid w:val="00BB5368"/>
    <w:rsid w:val="00BB5F1B"/>
    <w:rsid w:val="00BB5F3C"/>
    <w:rsid w:val="00BB606F"/>
    <w:rsid w:val="00BB63BA"/>
    <w:rsid w:val="00BB6831"/>
    <w:rsid w:val="00BB6AF7"/>
    <w:rsid w:val="00BB6E7C"/>
    <w:rsid w:val="00BB7642"/>
    <w:rsid w:val="00BB7677"/>
    <w:rsid w:val="00BB796C"/>
    <w:rsid w:val="00BC066E"/>
    <w:rsid w:val="00BC0884"/>
    <w:rsid w:val="00BC1347"/>
    <w:rsid w:val="00BC1E01"/>
    <w:rsid w:val="00BC21D6"/>
    <w:rsid w:val="00BC2998"/>
    <w:rsid w:val="00BC31A7"/>
    <w:rsid w:val="00BC34A3"/>
    <w:rsid w:val="00BC361C"/>
    <w:rsid w:val="00BC5684"/>
    <w:rsid w:val="00BC5B0A"/>
    <w:rsid w:val="00BC5DB2"/>
    <w:rsid w:val="00BC6435"/>
    <w:rsid w:val="00BC6577"/>
    <w:rsid w:val="00BC684A"/>
    <w:rsid w:val="00BC7A14"/>
    <w:rsid w:val="00BD000E"/>
    <w:rsid w:val="00BD0B97"/>
    <w:rsid w:val="00BD0D2E"/>
    <w:rsid w:val="00BD101D"/>
    <w:rsid w:val="00BD1643"/>
    <w:rsid w:val="00BD1B3C"/>
    <w:rsid w:val="00BD1C2A"/>
    <w:rsid w:val="00BD2187"/>
    <w:rsid w:val="00BD21D9"/>
    <w:rsid w:val="00BD2D5D"/>
    <w:rsid w:val="00BD339B"/>
    <w:rsid w:val="00BD3897"/>
    <w:rsid w:val="00BD42F5"/>
    <w:rsid w:val="00BD4DC6"/>
    <w:rsid w:val="00BD5009"/>
    <w:rsid w:val="00BD5272"/>
    <w:rsid w:val="00BD5344"/>
    <w:rsid w:val="00BD5348"/>
    <w:rsid w:val="00BD6284"/>
    <w:rsid w:val="00BD692E"/>
    <w:rsid w:val="00BD750B"/>
    <w:rsid w:val="00BE02A8"/>
    <w:rsid w:val="00BE2D37"/>
    <w:rsid w:val="00BE339E"/>
    <w:rsid w:val="00BE3A25"/>
    <w:rsid w:val="00BE4F6E"/>
    <w:rsid w:val="00BE501D"/>
    <w:rsid w:val="00BE6DFD"/>
    <w:rsid w:val="00BE7678"/>
    <w:rsid w:val="00BF08DE"/>
    <w:rsid w:val="00BF1435"/>
    <w:rsid w:val="00BF17B8"/>
    <w:rsid w:val="00BF24A8"/>
    <w:rsid w:val="00BF2A3F"/>
    <w:rsid w:val="00BF4009"/>
    <w:rsid w:val="00BF4731"/>
    <w:rsid w:val="00BF5419"/>
    <w:rsid w:val="00BF59B8"/>
    <w:rsid w:val="00BF61CC"/>
    <w:rsid w:val="00BF6446"/>
    <w:rsid w:val="00BF6581"/>
    <w:rsid w:val="00BF7E24"/>
    <w:rsid w:val="00C00C56"/>
    <w:rsid w:val="00C01104"/>
    <w:rsid w:val="00C023C8"/>
    <w:rsid w:val="00C02A30"/>
    <w:rsid w:val="00C02DEF"/>
    <w:rsid w:val="00C03DA0"/>
    <w:rsid w:val="00C044E7"/>
    <w:rsid w:val="00C0504D"/>
    <w:rsid w:val="00C05BB0"/>
    <w:rsid w:val="00C071C2"/>
    <w:rsid w:val="00C079D2"/>
    <w:rsid w:val="00C07BC0"/>
    <w:rsid w:val="00C07C4A"/>
    <w:rsid w:val="00C07DED"/>
    <w:rsid w:val="00C12496"/>
    <w:rsid w:val="00C124FC"/>
    <w:rsid w:val="00C12911"/>
    <w:rsid w:val="00C12C47"/>
    <w:rsid w:val="00C134D0"/>
    <w:rsid w:val="00C1353C"/>
    <w:rsid w:val="00C14B68"/>
    <w:rsid w:val="00C16916"/>
    <w:rsid w:val="00C16C47"/>
    <w:rsid w:val="00C16EB4"/>
    <w:rsid w:val="00C16FA4"/>
    <w:rsid w:val="00C1786B"/>
    <w:rsid w:val="00C17D49"/>
    <w:rsid w:val="00C209E7"/>
    <w:rsid w:val="00C20CD6"/>
    <w:rsid w:val="00C21667"/>
    <w:rsid w:val="00C226B3"/>
    <w:rsid w:val="00C2476A"/>
    <w:rsid w:val="00C25624"/>
    <w:rsid w:val="00C25DBE"/>
    <w:rsid w:val="00C260C6"/>
    <w:rsid w:val="00C26730"/>
    <w:rsid w:val="00C26990"/>
    <w:rsid w:val="00C26F76"/>
    <w:rsid w:val="00C2705D"/>
    <w:rsid w:val="00C27280"/>
    <w:rsid w:val="00C27505"/>
    <w:rsid w:val="00C275B0"/>
    <w:rsid w:val="00C30AE7"/>
    <w:rsid w:val="00C30EB7"/>
    <w:rsid w:val="00C31A4A"/>
    <w:rsid w:val="00C31FB2"/>
    <w:rsid w:val="00C33559"/>
    <w:rsid w:val="00C338F8"/>
    <w:rsid w:val="00C33CBC"/>
    <w:rsid w:val="00C33F8C"/>
    <w:rsid w:val="00C34020"/>
    <w:rsid w:val="00C34EB2"/>
    <w:rsid w:val="00C40605"/>
    <w:rsid w:val="00C42765"/>
    <w:rsid w:val="00C4325E"/>
    <w:rsid w:val="00C43435"/>
    <w:rsid w:val="00C43A04"/>
    <w:rsid w:val="00C44361"/>
    <w:rsid w:val="00C446D6"/>
    <w:rsid w:val="00C45270"/>
    <w:rsid w:val="00C45E48"/>
    <w:rsid w:val="00C46277"/>
    <w:rsid w:val="00C46608"/>
    <w:rsid w:val="00C471CB"/>
    <w:rsid w:val="00C508B3"/>
    <w:rsid w:val="00C514F3"/>
    <w:rsid w:val="00C519F1"/>
    <w:rsid w:val="00C51E81"/>
    <w:rsid w:val="00C52549"/>
    <w:rsid w:val="00C52788"/>
    <w:rsid w:val="00C53127"/>
    <w:rsid w:val="00C53493"/>
    <w:rsid w:val="00C53996"/>
    <w:rsid w:val="00C53F80"/>
    <w:rsid w:val="00C5448C"/>
    <w:rsid w:val="00C5470A"/>
    <w:rsid w:val="00C54A5E"/>
    <w:rsid w:val="00C54CF4"/>
    <w:rsid w:val="00C54E4F"/>
    <w:rsid w:val="00C5510D"/>
    <w:rsid w:val="00C55E5C"/>
    <w:rsid w:val="00C5604B"/>
    <w:rsid w:val="00C560F3"/>
    <w:rsid w:val="00C5629F"/>
    <w:rsid w:val="00C60CAE"/>
    <w:rsid w:val="00C61FD8"/>
    <w:rsid w:val="00C62BC1"/>
    <w:rsid w:val="00C6392B"/>
    <w:rsid w:val="00C63E94"/>
    <w:rsid w:val="00C64FC8"/>
    <w:rsid w:val="00C6559C"/>
    <w:rsid w:val="00C65854"/>
    <w:rsid w:val="00C66CA2"/>
    <w:rsid w:val="00C66DA8"/>
    <w:rsid w:val="00C67435"/>
    <w:rsid w:val="00C67600"/>
    <w:rsid w:val="00C70CC6"/>
    <w:rsid w:val="00C70CE1"/>
    <w:rsid w:val="00C70F35"/>
    <w:rsid w:val="00C72F53"/>
    <w:rsid w:val="00C74F69"/>
    <w:rsid w:val="00C75473"/>
    <w:rsid w:val="00C76590"/>
    <w:rsid w:val="00C76A58"/>
    <w:rsid w:val="00C801A9"/>
    <w:rsid w:val="00C80415"/>
    <w:rsid w:val="00C80AAF"/>
    <w:rsid w:val="00C81706"/>
    <w:rsid w:val="00C84693"/>
    <w:rsid w:val="00C848EC"/>
    <w:rsid w:val="00C8526D"/>
    <w:rsid w:val="00C8542F"/>
    <w:rsid w:val="00C85821"/>
    <w:rsid w:val="00C85A88"/>
    <w:rsid w:val="00C8682F"/>
    <w:rsid w:val="00C878E1"/>
    <w:rsid w:val="00C902E7"/>
    <w:rsid w:val="00C91F4A"/>
    <w:rsid w:val="00C9216C"/>
    <w:rsid w:val="00C92376"/>
    <w:rsid w:val="00C92845"/>
    <w:rsid w:val="00C92AC4"/>
    <w:rsid w:val="00C9362D"/>
    <w:rsid w:val="00C93DC6"/>
    <w:rsid w:val="00C95573"/>
    <w:rsid w:val="00C95723"/>
    <w:rsid w:val="00C963E5"/>
    <w:rsid w:val="00C96541"/>
    <w:rsid w:val="00C973B5"/>
    <w:rsid w:val="00C973C7"/>
    <w:rsid w:val="00C978E4"/>
    <w:rsid w:val="00C97BFD"/>
    <w:rsid w:val="00CA04AD"/>
    <w:rsid w:val="00CA0DB5"/>
    <w:rsid w:val="00CA118F"/>
    <w:rsid w:val="00CA23B4"/>
    <w:rsid w:val="00CA24AC"/>
    <w:rsid w:val="00CA2688"/>
    <w:rsid w:val="00CA37A4"/>
    <w:rsid w:val="00CA3989"/>
    <w:rsid w:val="00CA3F1D"/>
    <w:rsid w:val="00CA50AB"/>
    <w:rsid w:val="00CA6646"/>
    <w:rsid w:val="00CA6755"/>
    <w:rsid w:val="00CA7F69"/>
    <w:rsid w:val="00CB07FE"/>
    <w:rsid w:val="00CB19BF"/>
    <w:rsid w:val="00CB1BA7"/>
    <w:rsid w:val="00CB2369"/>
    <w:rsid w:val="00CB4D1A"/>
    <w:rsid w:val="00CB50A9"/>
    <w:rsid w:val="00CB58EF"/>
    <w:rsid w:val="00CB5B14"/>
    <w:rsid w:val="00CB6BA1"/>
    <w:rsid w:val="00CB6F99"/>
    <w:rsid w:val="00CB719B"/>
    <w:rsid w:val="00CB71BF"/>
    <w:rsid w:val="00CB7597"/>
    <w:rsid w:val="00CC0092"/>
    <w:rsid w:val="00CC1ADF"/>
    <w:rsid w:val="00CC1F79"/>
    <w:rsid w:val="00CC2142"/>
    <w:rsid w:val="00CC24A2"/>
    <w:rsid w:val="00CC26F6"/>
    <w:rsid w:val="00CC34DA"/>
    <w:rsid w:val="00CC39E1"/>
    <w:rsid w:val="00CC435A"/>
    <w:rsid w:val="00CC5606"/>
    <w:rsid w:val="00CC7273"/>
    <w:rsid w:val="00CC7C5C"/>
    <w:rsid w:val="00CD03B9"/>
    <w:rsid w:val="00CD0E43"/>
    <w:rsid w:val="00CD285B"/>
    <w:rsid w:val="00CD2B54"/>
    <w:rsid w:val="00CD2F88"/>
    <w:rsid w:val="00CD3930"/>
    <w:rsid w:val="00CD39FF"/>
    <w:rsid w:val="00CD46AE"/>
    <w:rsid w:val="00CD4759"/>
    <w:rsid w:val="00CD4A41"/>
    <w:rsid w:val="00CD5B83"/>
    <w:rsid w:val="00CD5D46"/>
    <w:rsid w:val="00CD60C1"/>
    <w:rsid w:val="00CD60E5"/>
    <w:rsid w:val="00CD628B"/>
    <w:rsid w:val="00CD6435"/>
    <w:rsid w:val="00CD71E3"/>
    <w:rsid w:val="00CD7CD9"/>
    <w:rsid w:val="00CD7CFF"/>
    <w:rsid w:val="00CE0179"/>
    <w:rsid w:val="00CE066A"/>
    <w:rsid w:val="00CE0878"/>
    <w:rsid w:val="00CE0FA5"/>
    <w:rsid w:val="00CE1557"/>
    <w:rsid w:val="00CE1BFF"/>
    <w:rsid w:val="00CE2901"/>
    <w:rsid w:val="00CE2BAD"/>
    <w:rsid w:val="00CE3291"/>
    <w:rsid w:val="00CE555D"/>
    <w:rsid w:val="00CE58E6"/>
    <w:rsid w:val="00CE622D"/>
    <w:rsid w:val="00CF2134"/>
    <w:rsid w:val="00CF264C"/>
    <w:rsid w:val="00CF2CB1"/>
    <w:rsid w:val="00CF4CB2"/>
    <w:rsid w:val="00CF4CB5"/>
    <w:rsid w:val="00CF4FC0"/>
    <w:rsid w:val="00CF5841"/>
    <w:rsid w:val="00CF753F"/>
    <w:rsid w:val="00D0027A"/>
    <w:rsid w:val="00D00560"/>
    <w:rsid w:val="00D01441"/>
    <w:rsid w:val="00D018ED"/>
    <w:rsid w:val="00D023F8"/>
    <w:rsid w:val="00D02564"/>
    <w:rsid w:val="00D0270A"/>
    <w:rsid w:val="00D04607"/>
    <w:rsid w:val="00D048C2"/>
    <w:rsid w:val="00D053BC"/>
    <w:rsid w:val="00D0774E"/>
    <w:rsid w:val="00D10A21"/>
    <w:rsid w:val="00D11117"/>
    <w:rsid w:val="00D130A6"/>
    <w:rsid w:val="00D13844"/>
    <w:rsid w:val="00D14B47"/>
    <w:rsid w:val="00D14F6F"/>
    <w:rsid w:val="00D1564C"/>
    <w:rsid w:val="00D1585D"/>
    <w:rsid w:val="00D16125"/>
    <w:rsid w:val="00D1673B"/>
    <w:rsid w:val="00D16C23"/>
    <w:rsid w:val="00D17256"/>
    <w:rsid w:val="00D20074"/>
    <w:rsid w:val="00D20DB7"/>
    <w:rsid w:val="00D20F87"/>
    <w:rsid w:val="00D210CA"/>
    <w:rsid w:val="00D2176D"/>
    <w:rsid w:val="00D22BDB"/>
    <w:rsid w:val="00D24B9D"/>
    <w:rsid w:val="00D25100"/>
    <w:rsid w:val="00D26367"/>
    <w:rsid w:val="00D26C18"/>
    <w:rsid w:val="00D300D1"/>
    <w:rsid w:val="00D331F7"/>
    <w:rsid w:val="00D33CE7"/>
    <w:rsid w:val="00D33D8A"/>
    <w:rsid w:val="00D34BBA"/>
    <w:rsid w:val="00D35132"/>
    <w:rsid w:val="00D35998"/>
    <w:rsid w:val="00D361C4"/>
    <w:rsid w:val="00D36634"/>
    <w:rsid w:val="00D3741C"/>
    <w:rsid w:val="00D37AEF"/>
    <w:rsid w:val="00D37C24"/>
    <w:rsid w:val="00D403AA"/>
    <w:rsid w:val="00D40DEE"/>
    <w:rsid w:val="00D41B80"/>
    <w:rsid w:val="00D41D2D"/>
    <w:rsid w:val="00D429B6"/>
    <w:rsid w:val="00D43DED"/>
    <w:rsid w:val="00D4505D"/>
    <w:rsid w:val="00D4507B"/>
    <w:rsid w:val="00D45100"/>
    <w:rsid w:val="00D4511D"/>
    <w:rsid w:val="00D45619"/>
    <w:rsid w:val="00D4583A"/>
    <w:rsid w:val="00D45923"/>
    <w:rsid w:val="00D45AC3"/>
    <w:rsid w:val="00D46191"/>
    <w:rsid w:val="00D46773"/>
    <w:rsid w:val="00D46886"/>
    <w:rsid w:val="00D46BDC"/>
    <w:rsid w:val="00D4780A"/>
    <w:rsid w:val="00D509AB"/>
    <w:rsid w:val="00D50B01"/>
    <w:rsid w:val="00D50B75"/>
    <w:rsid w:val="00D50E51"/>
    <w:rsid w:val="00D517A3"/>
    <w:rsid w:val="00D5285B"/>
    <w:rsid w:val="00D52D3E"/>
    <w:rsid w:val="00D5307F"/>
    <w:rsid w:val="00D5328B"/>
    <w:rsid w:val="00D543F6"/>
    <w:rsid w:val="00D568E0"/>
    <w:rsid w:val="00D570B6"/>
    <w:rsid w:val="00D5721B"/>
    <w:rsid w:val="00D57AA5"/>
    <w:rsid w:val="00D60AD8"/>
    <w:rsid w:val="00D614EA"/>
    <w:rsid w:val="00D61A82"/>
    <w:rsid w:val="00D644A8"/>
    <w:rsid w:val="00D65A66"/>
    <w:rsid w:val="00D66298"/>
    <w:rsid w:val="00D665AD"/>
    <w:rsid w:val="00D6716F"/>
    <w:rsid w:val="00D67AEA"/>
    <w:rsid w:val="00D708A2"/>
    <w:rsid w:val="00D70E1B"/>
    <w:rsid w:val="00D72A00"/>
    <w:rsid w:val="00D72A4D"/>
    <w:rsid w:val="00D72D2C"/>
    <w:rsid w:val="00D73330"/>
    <w:rsid w:val="00D737C5"/>
    <w:rsid w:val="00D73F9B"/>
    <w:rsid w:val="00D748F9"/>
    <w:rsid w:val="00D75320"/>
    <w:rsid w:val="00D7673B"/>
    <w:rsid w:val="00D76DB3"/>
    <w:rsid w:val="00D80ADB"/>
    <w:rsid w:val="00D81198"/>
    <w:rsid w:val="00D811C7"/>
    <w:rsid w:val="00D82595"/>
    <w:rsid w:val="00D82BB7"/>
    <w:rsid w:val="00D84307"/>
    <w:rsid w:val="00D84A20"/>
    <w:rsid w:val="00D85C16"/>
    <w:rsid w:val="00D86D8E"/>
    <w:rsid w:val="00D876CE"/>
    <w:rsid w:val="00D87B56"/>
    <w:rsid w:val="00D90958"/>
    <w:rsid w:val="00D9204C"/>
    <w:rsid w:val="00D9212C"/>
    <w:rsid w:val="00D922AA"/>
    <w:rsid w:val="00D94609"/>
    <w:rsid w:val="00D94B0F"/>
    <w:rsid w:val="00D969B9"/>
    <w:rsid w:val="00D97986"/>
    <w:rsid w:val="00D97F02"/>
    <w:rsid w:val="00DA0151"/>
    <w:rsid w:val="00DA2F1C"/>
    <w:rsid w:val="00DA42AE"/>
    <w:rsid w:val="00DA517D"/>
    <w:rsid w:val="00DA6933"/>
    <w:rsid w:val="00DA6E28"/>
    <w:rsid w:val="00DA7181"/>
    <w:rsid w:val="00DA748B"/>
    <w:rsid w:val="00DA75BA"/>
    <w:rsid w:val="00DB17EA"/>
    <w:rsid w:val="00DB1973"/>
    <w:rsid w:val="00DB1DDB"/>
    <w:rsid w:val="00DB2386"/>
    <w:rsid w:val="00DB2654"/>
    <w:rsid w:val="00DB338D"/>
    <w:rsid w:val="00DB3641"/>
    <w:rsid w:val="00DB3886"/>
    <w:rsid w:val="00DB3BF5"/>
    <w:rsid w:val="00DB6018"/>
    <w:rsid w:val="00DB6713"/>
    <w:rsid w:val="00DB6C6B"/>
    <w:rsid w:val="00DB761F"/>
    <w:rsid w:val="00DB7F79"/>
    <w:rsid w:val="00DC05D7"/>
    <w:rsid w:val="00DC0B74"/>
    <w:rsid w:val="00DC110D"/>
    <w:rsid w:val="00DC1237"/>
    <w:rsid w:val="00DC20CE"/>
    <w:rsid w:val="00DC22C7"/>
    <w:rsid w:val="00DC2504"/>
    <w:rsid w:val="00DC2E9F"/>
    <w:rsid w:val="00DC3BE2"/>
    <w:rsid w:val="00DC487B"/>
    <w:rsid w:val="00DC496B"/>
    <w:rsid w:val="00DC5DFF"/>
    <w:rsid w:val="00DC6655"/>
    <w:rsid w:val="00DC7220"/>
    <w:rsid w:val="00DC76CA"/>
    <w:rsid w:val="00DD0C3C"/>
    <w:rsid w:val="00DD1202"/>
    <w:rsid w:val="00DD16AF"/>
    <w:rsid w:val="00DD1C33"/>
    <w:rsid w:val="00DD2CA6"/>
    <w:rsid w:val="00DD31C1"/>
    <w:rsid w:val="00DD33AE"/>
    <w:rsid w:val="00DD3DED"/>
    <w:rsid w:val="00DD3E93"/>
    <w:rsid w:val="00DD3FE6"/>
    <w:rsid w:val="00DD447B"/>
    <w:rsid w:val="00DD4686"/>
    <w:rsid w:val="00DD4B72"/>
    <w:rsid w:val="00DD510A"/>
    <w:rsid w:val="00DD5394"/>
    <w:rsid w:val="00DD5850"/>
    <w:rsid w:val="00DD599E"/>
    <w:rsid w:val="00DD5E14"/>
    <w:rsid w:val="00DD636C"/>
    <w:rsid w:val="00DD656F"/>
    <w:rsid w:val="00DD68FC"/>
    <w:rsid w:val="00DD6ECE"/>
    <w:rsid w:val="00DD6EDF"/>
    <w:rsid w:val="00DD6EF2"/>
    <w:rsid w:val="00DD7057"/>
    <w:rsid w:val="00DE08DB"/>
    <w:rsid w:val="00DE0A76"/>
    <w:rsid w:val="00DE0BED"/>
    <w:rsid w:val="00DE11F3"/>
    <w:rsid w:val="00DE1223"/>
    <w:rsid w:val="00DE1298"/>
    <w:rsid w:val="00DE1AB8"/>
    <w:rsid w:val="00DE30BE"/>
    <w:rsid w:val="00DE3972"/>
    <w:rsid w:val="00DE4156"/>
    <w:rsid w:val="00DE434E"/>
    <w:rsid w:val="00DE533A"/>
    <w:rsid w:val="00DE59C7"/>
    <w:rsid w:val="00DE5C36"/>
    <w:rsid w:val="00DE5D0B"/>
    <w:rsid w:val="00DE6A2E"/>
    <w:rsid w:val="00DE6EE2"/>
    <w:rsid w:val="00DE74A6"/>
    <w:rsid w:val="00DF26A1"/>
    <w:rsid w:val="00DF472C"/>
    <w:rsid w:val="00DF7C05"/>
    <w:rsid w:val="00DF7DB5"/>
    <w:rsid w:val="00E004B3"/>
    <w:rsid w:val="00E00622"/>
    <w:rsid w:val="00E01297"/>
    <w:rsid w:val="00E02207"/>
    <w:rsid w:val="00E0236B"/>
    <w:rsid w:val="00E0263C"/>
    <w:rsid w:val="00E02721"/>
    <w:rsid w:val="00E03300"/>
    <w:rsid w:val="00E049AF"/>
    <w:rsid w:val="00E04D0D"/>
    <w:rsid w:val="00E05E06"/>
    <w:rsid w:val="00E061D2"/>
    <w:rsid w:val="00E06C5B"/>
    <w:rsid w:val="00E07883"/>
    <w:rsid w:val="00E1115D"/>
    <w:rsid w:val="00E111C1"/>
    <w:rsid w:val="00E118A6"/>
    <w:rsid w:val="00E11ACB"/>
    <w:rsid w:val="00E12E26"/>
    <w:rsid w:val="00E13D91"/>
    <w:rsid w:val="00E1463E"/>
    <w:rsid w:val="00E15461"/>
    <w:rsid w:val="00E15ED5"/>
    <w:rsid w:val="00E15FB5"/>
    <w:rsid w:val="00E16F3E"/>
    <w:rsid w:val="00E16F6F"/>
    <w:rsid w:val="00E171C1"/>
    <w:rsid w:val="00E20990"/>
    <w:rsid w:val="00E20AF7"/>
    <w:rsid w:val="00E21020"/>
    <w:rsid w:val="00E2176F"/>
    <w:rsid w:val="00E217C6"/>
    <w:rsid w:val="00E21E48"/>
    <w:rsid w:val="00E22A0B"/>
    <w:rsid w:val="00E23814"/>
    <w:rsid w:val="00E23B2B"/>
    <w:rsid w:val="00E244D1"/>
    <w:rsid w:val="00E24CA7"/>
    <w:rsid w:val="00E24F44"/>
    <w:rsid w:val="00E26089"/>
    <w:rsid w:val="00E266FA"/>
    <w:rsid w:val="00E27107"/>
    <w:rsid w:val="00E301F7"/>
    <w:rsid w:val="00E312A5"/>
    <w:rsid w:val="00E31ADD"/>
    <w:rsid w:val="00E332FB"/>
    <w:rsid w:val="00E339BF"/>
    <w:rsid w:val="00E34DC3"/>
    <w:rsid w:val="00E353A8"/>
    <w:rsid w:val="00E3588F"/>
    <w:rsid w:val="00E35BCF"/>
    <w:rsid w:val="00E35BD3"/>
    <w:rsid w:val="00E361C3"/>
    <w:rsid w:val="00E36506"/>
    <w:rsid w:val="00E3712D"/>
    <w:rsid w:val="00E37EBD"/>
    <w:rsid w:val="00E4007D"/>
    <w:rsid w:val="00E41D5B"/>
    <w:rsid w:val="00E42BD9"/>
    <w:rsid w:val="00E431F6"/>
    <w:rsid w:val="00E43664"/>
    <w:rsid w:val="00E43915"/>
    <w:rsid w:val="00E43D56"/>
    <w:rsid w:val="00E45DBB"/>
    <w:rsid w:val="00E45DC4"/>
    <w:rsid w:val="00E45F2E"/>
    <w:rsid w:val="00E50C26"/>
    <w:rsid w:val="00E545CB"/>
    <w:rsid w:val="00E54BFE"/>
    <w:rsid w:val="00E554F6"/>
    <w:rsid w:val="00E55A2F"/>
    <w:rsid w:val="00E55B52"/>
    <w:rsid w:val="00E55E19"/>
    <w:rsid w:val="00E56696"/>
    <w:rsid w:val="00E60C51"/>
    <w:rsid w:val="00E61772"/>
    <w:rsid w:val="00E61B87"/>
    <w:rsid w:val="00E61F0B"/>
    <w:rsid w:val="00E63429"/>
    <w:rsid w:val="00E64232"/>
    <w:rsid w:val="00E64F66"/>
    <w:rsid w:val="00E6521A"/>
    <w:rsid w:val="00E656A1"/>
    <w:rsid w:val="00E65BF6"/>
    <w:rsid w:val="00E66A0B"/>
    <w:rsid w:val="00E66B0F"/>
    <w:rsid w:val="00E66DE5"/>
    <w:rsid w:val="00E67C2A"/>
    <w:rsid w:val="00E708BC"/>
    <w:rsid w:val="00E70D21"/>
    <w:rsid w:val="00E70F30"/>
    <w:rsid w:val="00E717F6"/>
    <w:rsid w:val="00E718D5"/>
    <w:rsid w:val="00E73075"/>
    <w:rsid w:val="00E73CCA"/>
    <w:rsid w:val="00E74129"/>
    <w:rsid w:val="00E759CA"/>
    <w:rsid w:val="00E75E5D"/>
    <w:rsid w:val="00E76C94"/>
    <w:rsid w:val="00E77130"/>
    <w:rsid w:val="00E7719B"/>
    <w:rsid w:val="00E80058"/>
    <w:rsid w:val="00E8134C"/>
    <w:rsid w:val="00E81EE7"/>
    <w:rsid w:val="00E8215C"/>
    <w:rsid w:val="00E82A78"/>
    <w:rsid w:val="00E841AB"/>
    <w:rsid w:val="00E84883"/>
    <w:rsid w:val="00E8491D"/>
    <w:rsid w:val="00E84EF2"/>
    <w:rsid w:val="00E84FD5"/>
    <w:rsid w:val="00E85864"/>
    <w:rsid w:val="00E85887"/>
    <w:rsid w:val="00E85DCC"/>
    <w:rsid w:val="00E86A43"/>
    <w:rsid w:val="00E87D85"/>
    <w:rsid w:val="00E9026A"/>
    <w:rsid w:val="00E916CF"/>
    <w:rsid w:val="00E958E1"/>
    <w:rsid w:val="00E9616A"/>
    <w:rsid w:val="00E97445"/>
    <w:rsid w:val="00E97802"/>
    <w:rsid w:val="00EA0E82"/>
    <w:rsid w:val="00EA1A1D"/>
    <w:rsid w:val="00EA250B"/>
    <w:rsid w:val="00EA25AA"/>
    <w:rsid w:val="00EA2612"/>
    <w:rsid w:val="00EA352F"/>
    <w:rsid w:val="00EA3575"/>
    <w:rsid w:val="00EA740C"/>
    <w:rsid w:val="00EA7462"/>
    <w:rsid w:val="00EB07C3"/>
    <w:rsid w:val="00EB1C20"/>
    <w:rsid w:val="00EB234E"/>
    <w:rsid w:val="00EB26ED"/>
    <w:rsid w:val="00EB2FCB"/>
    <w:rsid w:val="00EB32F5"/>
    <w:rsid w:val="00EB3853"/>
    <w:rsid w:val="00EB3F5C"/>
    <w:rsid w:val="00EB54EF"/>
    <w:rsid w:val="00EB5DB5"/>
    <w:rsid w:val="00EB6D0D"/>
    <w:rsid w:val="00EB6F12"/>
    <w:rsid w:val="00EC0EB1"/>
    <w:rsid w:val="00EC11B9"/>
    <w:rsid w:val="00EC2137"/>
    <w:rsid w:val="00EC2786"/>
    <w:rsid w:val="00EC2AFD"/>
    <w:rsid w:val="00EC34A4"/>
    <w:rsid w:val="00EC434E"/>
    <w:rsid w:val="00EC4B89"/>
    <w:rsid w:val="00EC5D98"/>
    <w:rsid w:val="00EC6D6E"/>
    <w:rsid w:val="00EC7367"/>
    <w:rsid w:val="00ED0CC8"/>
    <w:rsid w:val="00ED2C38"/>
    <w:rsid w:val="00ED40BC"/>
    <w:rsid w:val="00ED57E0"/>
    <w:rsid w:val="00ED6521"/>
    <w:rsid w:val="00ED660D"/>
    <w:rsid w:val="00ED6E6A"/>
    <w:rsid w:val="00ED7A54"/>
    <w:rsid w:val="00ED7ECA"/>
    <w:rsid w:val="00EE014A"/>
    <w:rsid w:val="00EE1514"/>
    <w:rsid w:val="00EE2642"/>
    <w:rsid w:val="00EE28A2"/>
    <w:rsid w:val="00EE3B5C"/>
    <w:rsid w:val="00EE3E04"/>
    <w:rsid w:val="00EE47A5"/>
    <w:rsid w:val="00EE5547"/>
    <w:rsid w:val="00EE5749"/>
    <w:rsid w:val="00EE5799"/>
    <w:rsid w:val="00EE6532"/>
    <w:rsid w:val="00EE6D37"/>
    <w:rsid w:val="00EE6F3A"/>
    <w:rsid w:val="00EE7A71"/>
    <w:rsid w:val="00EF0111"/>
    <w:rsid w:val="00EF0653"/>
    <w:rsid w:val="00EF076D"/>
    <w:rsid w:val="00EF095A"/>
    <w:rsid w:val="00EF0F43"/>
    <w:rsid w:val="00EF3D4A"/>
    <w:rsid w:val="00EF46FB"/>
    <w:rsid w:val="00EF4952"/>
    <w:rsid w:val="00EF49FD"/>
    <w:rsid w:val="00EF5419"/>
    <w:rsid w:val="00EF57F0"/>
    <w:rsid w:val="00EF6E78"/>
    <w:rsid w:val="00EF7873"/>
    <w:rsid w:val="00F0041F"/>
    <w:rsid w:val="00F00702"/>
    <w:rsid w:val="00F00D50"/>
    <w:rsid w:val="00F01BC3"/>
    <w:rsid w:val="00F01C59"/>
    <w:rsid w:val="00F01D47"/>
    <w:rsid w:val="00F01FDD"/>
    <w:rsid w:val="00F02E08"/>
    <w:rsid w:val="00F034E4"/>
    <w:rsid w:val="00F036B2"/>
    <w:rsid w:val="00F03E96"/>
    <w:rsid w:val="00F044EF"/>
    <w:rsid w:val="00F04E64"/>
    <w:rsid w:val="00F06C3F"/>
    <w:rsid w:val="00F06CAD"/>
    <w:rsid w:val="00F07BCA"/>
    <w:rsid w:val="00F10684"/>
    <w:rsid w:val="00F108C9"/>
    <w:rsid w:val="00F10EC2"/>
    <w:rsid w:val="00F11CC6"/>
    <w:rsid w:val="00F124BD"/>
    <w:rsid w:val="00F12D12"/>
    <w:rsid w:val="00F13571"/>
    <w:rsid w:val="00F13C80"/>
    <w:rsid w:val="00F14285"/>
    <w:rsid w:val="00F166AE"/>
    <w:rsid w:val="00F16954"/>
    <w:rsid w:val="00F16F44"/>
    <w:rsid w:val="00F17FA3"/>
    <w:rsid w:val="00F20730"/>
    <w:rsid w:val="00F21177"/>
    <w:rsid w:val="00F216BF"/>
    <w:rsid w:val="00F21CA0"/>
    <w:rsid w:val="00F21EBE"/>
    <w:rsid w:val="00F22282"/>
    <w:rsid w:val="00F22386"/>
    <w:rsid w:val="00F22ED7"/>
    <w:rsid w:val="00F23BEA"/>
    <w:rsid w:val="00F23F50"/>
    <w:rsid w:val="00F24017"/>
    <w:rsid w:val="00F26157"/>
    <w:rsid w:val="00F26FD7"/>
    <w:rsid w:val="00F30013"/>
    <w:rsid w:val="00F300DC"/>
    <w:rsid w:val="00F3054D"/>
    <w:rsid w:val="00F30F75"/>
    <w:rsid w:val="00F31EF9"/>
    <w:rsid w:val="00F31FFA"/>
    <w:rsid w:val="00F344E4"/>
    <w:rsid w:val="00F348EB"/>
    <w:rsid w:val="00F35577"/>
    <w:rsid w:val="00F37457"/>
    <w:rsid w:val="00F40835"/>
    <w:rsid w:val="00F40E29"/>
    <w:rsid w:val="00F41833"/>
    <w:rsid w:val="00F41AB9"/>
    <w:rsid w:val="00F427C6"/>
    <w:rsid w:val="00F42FEB"/>
    <w:rsid w:val="00F43430"/>
    <w:rsid w:val="00F44D55"/>
    <w:rsid w:val="00F45315"/>
    <w:rsid w:val="00F473B5"/>
    <w:rsid w:val="00F50163"/>
    <w:rsid w:val="00F51489"/>
    <w:rsid w:val="00F51DF3"/>
    <w:rsid w:val="00F51FF2"/>
    <w:rsid w:val="00F529B1"/>
    <w:rsid w:val="00F54942"/>
    <w:rsid w:val="00F56408"/>
    <w:rsid w:val="00F565C6"/>
    <w:rsid w:val="00F56B0C"/>
    <w:rsid w:val="00F56FDE"/>
    <w:rsid w:val="00F57468"/>
    <w:rsid w:val="00F577EF"/>
    <w:rsid w:val="00F579AA"/>
    <w:rsid w:val="00F57D6B"/>
    <w:rsid w:val="00F57D85"/>
    <w:rsid w:val="00F61508"/>
    <w:rsid w:val="00F61FCB"/>
    <w:rsid w:val="00F62391"/>
    <w:rsid w:val="00F625FF"/>
    <w:rsid w:val="00F62874"/>
    <w:rsid w:val="00F62C53"/>
    <w:rsid w:val="00F6407C"/>
    <w:rsid w:val="00F6426F"/>
    <w:rsid w:val="00F66128"/>
    <w:rsid w:val="00F67021"/>
    <w:rsid w:val="00F67521"/>
    <w:rsid w:val="00F7040A"/>
    <w:rsid w:val="00F731BA"/>
    <w:rsid w:val="00F73633"/>
    <w:rsid w:val="00F73CCF"/>
    <w:rsid w:val="00F745DF"/>
    <w:rsid w:val="00F7543C"/>
    <w:rsid w:val="00F755E1"/>
    <w:rsid w:val="00F76A08"/>
    <w:rsid w:val="00F77E87"/>
    <w:rsid w:val="00F8032E"/>
    <w:rsid w:val="00F81887"/>
    <w:rsid w:val="00F8218B"/>
    <w:rsid w:val="00F823AF"/>
    <w:rsid w:val="00F834C7"/>
    <w:rsid w:val="00F83ECC"/>
    <w:rsid w:val="00F84B03"/>
    <w:rsid w:val="00F850D9"/>
    <w:rsid w:val="00F85E50"/>
    <w:rsid w:val="00F863DC"/>
    <w:rsid w:val="00F864D2"/>
    <w:rsid w:val="00F86CC9"/>
    <w:rsid w:val="00F86ECF"/>
    <w:rsid w:val="00F8730E"/>
    <w:rsid w:val="00F87409"/>
    <w:rsid w:val="00F9132E"/>
    <w:rsid w:val="00F917D2"/>
    <w:rsid w:val="00F9182D"/>
    <w:rsid w:val="00F91D4C"/>
    <w:rsid w:val="00F922A1"/>
    <w:rsid w:val="00F93FC2"/>
    <w:rsid w:val="00F95915"/>
    <w:rsid w:val="00F95EAC"/>
    <w:rsid w:val="00F968D8"/>
    <w:rsid w:val="00F96D84"/>
    <w:rsid w:val="00F9733D"/>
    <w:rsid w:val="00F97745"/>
    <w:rsid w:val="00F97C52"/>
    <w:rsid w:val="00FA14F6"/>
    <w:rsid w:val="00FA17DC"/>
    <w:rsid w:val="00FA2EBC"/>
    <w:rsid w:val="00FA3C8C"/>
    <w:rsid w:val="00FA5798"/>
    <w:rsid w:val="00FA6803"/>
    <w:rsid w:val="00FA6806"/>
    <w:rsid w:val="00FA7FE1"/>
    <w:rsid w:val="00FB0FFC"/>
    <w:rsid w:val="00FB1296"/>
    <w:rsid w:val="00FB215F"/>
    <w:rsid w:val="00FB21D5"/>
    <w:rsid w:val="00FB284B"/>
    <w:rsid w:val="00FB391E"/>
    <w:rsid w:val="00FB3FAA"/>
    <w:rsid w:val="00FB41DA"/>
    <w:rsid w:val="00FB4704"/>
    <w:rsid w:val="00FB4B2D"/>
    <w:rsid w:val="00FB54F6"/>
    <w:rsid w:val="00FB670B"/>
    <w:rsid w:val="00FB7000"/>
    <w:rsid w:val="00FC162D"/>
    <w:rsid w:val="00FC1CCF"/>
    <w:rsid w:val="00FC254D"/>
    <w:rsid w:val="00FC2D40"/>
    <w:rsid w:val="00FC3A6C"/>
    <w:rsid w:val="00FC3F37"/>
    <w:rsid w:val="00FC57D5"/>
    <w:rsid w:val="00FC592D"/>
    <w:rsid w:val="00FC62DE"/>
    <w:rsid w:val="00FC7F7F"/>
    <w:rsid w:val="00FD17D3"/>
    <w:rsid w:val="00FD2B07"/>
    <w:rsid w:val="00FD347C"/>
    <w:rsid w:val="00FD3705"/>
    <w:rsid w:val="00FD3943"/>
    <w:rsid w:val="00FD54FA"/>
    <w:rsid w:val="00FD662C"/>
    <w:rsid w:val="00FD687B"/>
    <w:rsid w:val="00FD69BA"/>
    <w:rsid w:val="00FD7D54"/>
    <w:rsid w:val="00FD7DF7"/>
    <w:rsid w:val="00FE0E40"/>
    <w:rsid w:val="00FE1109"/>
    <w:rsid w:val="00FE116B"/>
    <w:rsid w:val="00FE2FA0"/>
    <w:rsid w:val="00FE33AF"/>
    <w:rsid w:val="00FE36D0"/>
    <w:rsid w:val="00FE3B21"/>
    <w:rsid w:val="00FE4B9E"/>
    <w:rsid w:val="00FE5A77"/>
    <w:rsid w:val="00FE5AED"/>
    <w:rsid w:val="00FE6318"/>
    <w:rsid w:val="00FE657B"/>
    <w:rsid w:val="00FE6878"/>
    <w:rsid w:val="00FE7347"/>
    <w:rsid w:val="00FE7718"/>
    <w:rsid w:val="00FF01E3"/>
    <w:rsid w:val="00FF05EE"/>
    <w:rsid w:val="00FF08EF"/>
    <w:rsid w:val="00FF0A8A"/>
    <w:rsid w:val="00FF1B83"/>
    <w:rsid w:val="00FF2873"/>
    <w:rsid w:val="00FF3304"/>
    <w:rsid w:val="00FF3AFE"/>
    <w:rsid w:val="00FF5189"/>
    <w:rsid w:val="00FF74EF"/>
    <w:rsid w:val="00FF760B"/>
    <w:rsid w:val="00FF7B82"/>
    <w:rsid w:val="01027ABC"/>
    <w:rsid w:val="01155F38"/>
    <w:rsid w:val="013D4FF7"/>
    <w:rsid w:val="014029FC"/>
    <w:rsid w:val="017130C2"/>
    <w:rsid w:val="0195691D"/>
    <w:rsid w:val="019C21D7"/>
    <w:rsid w:val="01A23731"/>
    <w:rsid w:val="01A927B2"/>
    <w:rsid w:val="01D0002E"/>
    <w:rsid w:val="024C4754"/>
    <w:rsid w:val="02A60447"/>
    <w:rsid w:val="02A66772"/>
    <w:rsid w:val="02AB5526"/>
    <w:rsid w:val="02B27D7E"/>
    <w:rsid w:val="03017A08"/>
    <w:rsid w:val="030C0529"/>
    <w:rsid w:val="033B0BCE"/>
    <w:rsid w:val="034B690A"/>
    <w:rsid w:val="037E2EBA"/>
    <w:rsid w:val="038F3212"/>
    <w:rsid w:val="03A72422"/>
    <w:rsid w:val="03DA19B2"/>
    <w:rsid w:val="03F81F60"/>
    <w:rsid w:val="040F1F05"/>
    <w:rsid w:val="043B44AF"/>
    <w:rsid w:val="04451BF7"/>
    <w:rsid w:val="044D24B6"/>
    <w:rsid w:val="04750AEF"/>
    <w:rsid w:val="048B79D4"/>
    <w:rsid w:val="049079A0"/>
    <w:rsid w:val="04B37502"/>
    <w:rsid w:val="04B97039"/>
    <w:rsid w:val="04C45207"/>
    <w:rsid w:val="04C55D86"/>
    <w:rsid w:val="04C72213"/>
    <w:rsid w:val="04E5055C"/>
    <w:rsid w:val="04F826D2"/>
    <w:rsid w:val="04FD0B20"/>
    <w:rsid w:val="05032F8F"/>
    <w:rsid w:val="050532EC"/>
    <w:rsid w:val="05146D04"/>
    <w:rsid w:val="05164C3A"/>
    <w:rsid w:val="053576A3"/>
    <w:rsid w:val="053C29C7"/>
    <w:rsid w:val="0567259A"/>
    <w:rsid w:val="058E5B26"/>
    <w:rsid w:val="05B24B9E"/>
    <w:rsid w:val="05C867FC"/>
    <w:rsid w:val="05CE5226"/>
    <w:rsid w:val="05E31C10"/>
    <w:rsid w:val="05EC4F1F"/>
    <w:rsid w:val="06006BA7"/>
    <w:rsid w:val="060460AD"/>
    <w:rsid w:val="06074EB0"/>
    <w:rsid w:val="06275C96"/>
    <w:rsid w:val="062D1AC8"/>
    <w:rsid w:val="063107F7"/>
    <w:rsid w:val="06B6332B"/>
    <w:rsid w:val="06BB1E51"/>
    <w:rsid w:val="06E31263"/>
    <w:rsid w:val="06E56662"/>
    <w:rsid w:val="074A49D4"/>
    <w:rsid w:val="075101A5"/>
    <w:rsid w:val="075672E3"/>
    <w:rsid w:val="075E1FB5"/>
    <w:rsid w:val="07641DD4"/>
    <w:rsid w:val="07A4456B"/>
    <w:rsid w:val="07C67938"/>
    <w:rsid w:val="07C9427D"/>
    <w:rsid w:val="07E029CD"/>
    <w:rsid w:val="07E74AB3"/>
    <w:rsid w:val="07EF6851"/>
    <w:rsid w:val="07F53A62"/>
    <w:rsid w:val="080E667E"/>
    <w:rsid w:val="080F38C4"/>
    <w:rsid w:val="086871F3"/>
    <w:rsid w:val="08705467"/>
    <w:rsid w:val="0878767F"/>
    <w:rsid w:val="08861E7B"/>
    <w:rsid w:val="08896705"/>
    <w:rsid w:val="088B6AE3"/>
    <w:rsid w:val="08C05A9D"/>
    <w:rsid w:val="08C21D9A"/>
    <w:rsid w:val="08D560D5"/>
    <w:rsid w:val="08E64283"/>
    <w:rsid w:val="08E66C96"/>
    <w:rsid w:val="09032293"/>
    <w:rsid w:val="09043A7F"/>
    <w:rsid w:val="09382C89"/>
    <w:rsid w:val="09474C6D"/>
    <w:rsid w:val="09687C82"/>
    <w:rsid w:val="099634FC"/>
    <w:rsid w:val="09B802C3"/>
    <w:rsid w:val="09C40988"/>
    <w:rsid w:val="09CC53E0"/>
    <w:rsid w:val="09D62FC4"/>
    <w:rsid w:val="09E87C1A"/>
    <w:rsid w:val="0A1579AF"/>
    <w:rsid w:val="0A240F6C"/>
    <w:rsid w:val="0A255709"/>
    <w:rsid w:val="0A3403A6"/>
    <w:rsid w:val="0A6673C1"/>
    <w:rsid w:val="0A677DC4"/>
    <w:rsid w:val="0A8016E1"/>
    <w:rsid w:val="0AA9098D"/>
    <w:rsid w:val="0AB179FE"/>
    <w:rsid w:val="0ADB39C7"/>
    <w:rsid w:val="0ADD0A00"/>
    <w:rsid w:val="0AE2009E"/>
    <w:rsid w:val="0AE41A9E"/>
    <w:rsid w:val="0AE42A74"/>
    <w:rsid w:val="0AF76FD7"/>
    <w:rsid w:val="0B0C4008"/>
    <w:rsid w:val="0B262325"/>
    <w:rsid w:val="0B2A64ED"/>
    <w:rsid w:val="0B3A15D7"/>
    <w:rsid w:val="0B4C340D"/>
    <w:rsid w:val="0B600731"/>
    <w:rsid w:val="0BB072D9"/>
    <w:rsid w:val="0BB835A8"/>
    <w:rsid w:val="0BBF07B2"/>
    <w:rsid w:val="0BC5483C"/>
    <w:rsid w:val="0BD04F7F"/>
    <w:rsid w:val="0BE619F7"/>
    <w:rsid w:val="0C6A17C9"/>
    <w:rsid w:val="0C6B33B2"/>
    <w:rsid w:val="0C882C6A"/>
    <w:rsid w:val="0C951373"/>
    <w:rsid w:val="0C953422"/>
    <w:rsid w:val="0C9E0E71"/>
    <w:rsid w:val="0CA00160"/>
    <w:rsid w:val="0CB33DF4"/>
    <w:rsid w:val="0CCE213D"/>
    <w:rsid w:val="0CE179FE"/>
    <w:rsid w:val="0CE9385D"/>
    <w:rsid w:val="0CED0853"/>
    <w:rsid w:val="0D0C1474"/>
    <w:rsid w:val="0D0E2AAF"/>
    <w:rsid w:val="0D1206EE"/>
    <w:rsid w:val="0D1908A2"/>
    <w:rsid w:val="0D1D67E6"/>
    <w:rsid w:val="0D2115F4"/>
    <w:rsid w:val="0D2926D5"/>
    <w:rsid w:val="0D326E22"/>
    <w:rsid w:val="0D397302"/>
    <w:rsid w:val="0D3D0A30"/>
    <w:rsid w:val="0D405FC9"/>
    <w:rsid w:val="0D633C5F"/>
    <w:rsid w:val="0D68186E"/>
    <w:rsid w:val="0D7E50B5"/>
    <w:rsid w:val="0DAD42B1"/>
    <w:rsid w:val="0DBB05D2"/>
    <w:rsid w:val="0E01363A"/>
    <w:rsid w:val="0E155507"/>
    <w:rsid w:val="0E447C72"/>
    <w:rsid w:val="0E5227F0"/>
    <w:rsid w:val="0E594D90"/>
    <w:rsid w:val="0EAE2799"/>
    <w:rsid w:val="0ED1250F"/>
    <w:rsid w:val="0EE744A0"/>
    <w:rsid w:val="0EF1699D"/>
    <w:rsid w:val="0EF47E86"/>
    <w:rsid w:val="0F30702F"/>
    <w:rsid w:val="0F7F6165"/>
    <w:rsid w:val="0F824439"/>
    <w:rsid w:val="0F8A54CD"/>
    <w:rsid w:val="0FB14C51"/>
    <w:rsid w:val="0FB427E2"/>
    <w:rsid w:val="0FC21F91"/>
    <w:rsid w:val="0FEE4EF0"/>
    <w:rsid w:val="101B23C0"/>
    <w:rsid w:val="1048024E"/>
    <w:rsid w:val="104D0158"/>
    <w:rsid w:val="10562F1B"/>
    <w:rsid w:val="105828DF"/>
    <w:rsid w:val="106042BE"/>
    <w:rsid w:val="107A4D15"/>
    <w:rsid w:val="109E4663"/>
    <w:rsid w:val="10B531D8"/>
    <w:rsid w:val="10B83429"/>
    <w:rsid w:val="10C10037"/>
    <w:rsid w:val="10D85EC7"/>
    <w:rsid w:val="10DC79F2"/>
    <w:rsid w:val="10DF19B8"/>
    <w:rsid w:val="10FC7F90"/>
    <w:rsid w:val="111B0A66"/>
    <w:rsid w:val="113B3F9A"/>
    <w:rsid w:val="113C1EFF"/>
    <w:rsid w:val="114706A4"/>
    <w:rsid w:val="114C40EA"/>
    <w:rsid w:val="114E06B2"/>
    <w:rsid w:val="114E23C6"/>
    <w:rsid w:val="117079F6"/>
    <w:rsid w:val="11753C30"/>
    <w:rsid w:val="11A93746"/>
    <w:rsid w:val="11C52AB9"/>
    <w:rsid w:val="12196E45"/>
    <w:rsid w:val="122677F1"/>
    <w:rsid w:val="1235626F"/>
    <w:rsid w:val="1246292C"/>
    <w:rsid w:val="12482DD9"/>
    <w:rsid w:val="12514FC0"/>
    <w:rsid w:val="12696DDE"/>
    <w:rsid w:val="126A784E"/>
    <w:rsid w:val="1287602B"/>
    <w:rsid w:val="12901B9D"/>
    <w:rsid w:val="12AA1AC1"/>
    <w:rsid w:val="12B347BE"/>
    <w:rsid w:val="12BB6140"/>
    <w:rsid w:val="12F1717F"/>
    <w:rsid w:val="13067DCA"/>
    <w:rsid w:val="13086DDE"/>
    <w:rsid w:val="13165804"/>
    <w:rsid w:val="131C5777"/>
    <w:rsid w:val="132E1292"/>
    <w:rsid w:val="13300346"/>
    <w:rsid w:val="13335833"/>
    <w:rsid w:val="133F275C"/>
    <w:rsid w:val="137610FC"/>
    <w:rsid w:val="13765B8B"/>
    <w:rsid w:val="13784228"/>
    <w:rsid w:val="139422EC"/>
    <w:rsid w:val="139E7595"/>
    <w:rsid w:val="13AA7631"/>
    <w:rsid w:val="13BF4F97"/>
    <w:rsid w:val="13C65652"/>
    <w:rsid w:val="13EC17CB"/>
    <w:rsid w:val="140E3AB5"/>
    <w:rsid w:val="14334110"/>
    <w:rsid w:val="145052DB"/>
    <w:rsid w:val="14551331"/>
    <w:rsid w:val="1458372C"/>
    <w:rsid w:val="14585B36"/>
    <w:rsid w:val="14625C06"/>
    <w:rsid w:val="14BB6681"/>
    <w:rsid w:val="14C11B94"/>
    <w:rsid w:val="14E174D5"/>
    <w:rsid w:val="14E603F9"/>
    <w:rsid w:val="14EB14C6"/>
    <w:rsid w:val="150D53DB"/>
    <w:rsid w:val="151958D2"/>
    <w:rsid w:val="15280FDB"/>
    <w:rsid w:val="15352935"/>
    <w:rsid w:val="153A04A2"/>
    <w:rsid w:val="1564133F"/>
    <w:rsid w:val="15A8049E"/>
    <w:rsid w:val="15BA464A"/>
    <w:rsid w:val="15C75C32"/>
    <w:rsid w:val="15D87C4B"/>
    <w:rsid w:val="15F0590B"/>
    <w:rsid w:val="15F1542B"/>
    <w:rsid w:val="162C1278"/>
    <w:rsid w:val="16483752"/>
    <w:rsid w:val="1653434F"/>
    <w:rsid w:val="167963A2"/>
    <w:rsid w:val="16A03E08"/>
    <w:rsid w:val="16D52037"/>
    <w:rsid w:val="16DE73D2"/>
    <w:rsid w:val="16E547BA"/>
    <w:rsid w:val="17214F41"/>
    <w:rsid w:val="175D2BC4"/>
    <w:rsid w:val="17835EE5"/>
    <w:rsid w:val="178D53E2"/>
    <w:rsid w:val="17A22EEC"/>
    <w:rsid w:val="17AC5D8A"/>
    <w:rsid w:val="17C866DD"/>
    <w:rsid w:val="17CE3D09"/>
    <w:rsid w:val="17CE6AFE"/>
    <w:rsid w:val="17E95C04"/>
    <w:rsid w:val="17F84861"/>
    <w:rsid w:val="18046FE3"/>
    <w:rsid w:val="18197D39"/>
    <w:rsid w:val="187D139E"/>
    <w:rsid w:val="188623EF"/>
    <w:rsid w:val="18923C2B"/>
    <w:rsid w:val="18B07724"/>
    <w:rsid w:val="18EF19DF"/>
    <w:rsid w:val="190235C1"/>
    <w:rsid w:val="195A14B7"/>
    <w:rsid w:val="199B462B"/>
    <w:rsid w:val="19B339BE"/>
    <w:rsid w:val="19C61D10"/>
    <w:rsid w:val="19D9610D"/>
    <w:rsid w:val="1A197F0A"/>
    <w:rsid w:val="1A306124"/>
    <w:rsid w:val="1A3C4D38"/>
    <w:rsid w:val="1A4E0ACC"/>
    <w:rsid w:val="1A734B0B"/>
    <w:rsid w:val="1A7D11D5"/>
    <w:rsid w:val="1B072BB2"/>
    <w:rsid w:val="1B082496"/>
    <w:rsid w:val="1B130A55"/>
    <w:rsid w:val="1B197E66"/>
    <w:rsid w:val="1B2D5ECD"/>
    <w:rsid w:val="1B3700DA"/>
    <w:rsid w:val="1B4F7D16"/>
    <w:rsid w:val="1B6C4624"/>
    <w:rsid w:val="1B947521"/>
    <w:rsid w:val="1B95381F"/>
    <w:rsid w:val="1BFD02C7"/>
    <w:rsid w:val="1C59465B"/>
    <w:rsid w:val="1C65725F"/>
    <w:rsid w:val="1C8C2669"/>
    <w:rsid w:val="1C921F07"/>
    <w:rsid w:val="1C9D7650"/>
    <w:rsid w:val="1CCC397C"/>
    <w:rsid w:val="1CCC4DF2"/>
    <w:rsid w:val="1CD76168"/>
    <w:rsid w:val="1CF052BB"/>
    <w:rsid w:val="1D164FF2"/>
    <w:rsid w:val="1D44421A"/>
    <w:rsid w:val="1D471D32"/>
    <w:rsid w:val="1D912103"/>
    <w:rsid w:val="1D9E3709"/>
    <w:rsid w:val="1DCB2764"/>
    <w:rsid w:val="1DD56785"/>
    <w:rsid w:val="1DDF3B37"/>
    <w:rsid w:val="1DE04A0F"/>
    <w:rsid w:val="1DED141B"/>
    <w:rsid w:val="1DFC2839"/>
    <w:rsid w:val="1E24555A"/>
    <w:rsid w:val="1E482BAD"/>
    <w:rsid w:val="1E516CD7"/>
    <w:rsid w:val="1E630910"/>
    <w:rsid w:val="1E7648C0"/>
    <w:rsid w:val="1E8F7238"/>
    <w:rsid w:val="1F0E4F91"/>
    <w:rsid w:val="1F2260FB"/>
    <w:rsid w:val="1F2E00D7"/>
    <w:rsid w:val="1F4D49AF"/>
    <w:rsid w:val="1F522626"/>
    <w:rsid w:val="1F7D5F94"/>
    <w:rsid w:val="1F96412F"/>
    <w:rsid w:val="1FB65003"/>
    <w:rsid w:val="1FC14443"/>
    <w:rsid w:val="1FC152AA"/>
    <w:rsid w:val="1FC3434C"/>
    <w:rsid w:val="1FF81E84"/>
    <w:rsid w:val="20322CAF"/>
    <w:rsid w:val="203F2DDB"/>
    <w:rsid w:val="20492CB4"/>
    <w:rsid w:val="207448C1"/>
    <w:rsid w:val="20776132"/>
    <w:rsid w:val="20A23ACD"/>
    <w:rsid w:val="20A24EEC"/>
    <w:rsid w:val="20AB0400"/>
    <w:rsid w:val="20C90F2A"/>
    <w:rsid w:val="20D12E5F"/>
    <w:rsid w:val="20F30A57"/>
    <w:rsid w:val="219D68F6"/>
    <w:rsid w:val="21B876E3"/>
    <w:rsid w:val="21BE71BF"/>
    <w:rsid w:val="22001B96"/>
    <w:rsid w:val="221022B8"/>
    <w:rsid w:val="22120D14"/>
    <w:rsid w:val="222E2399"/>
    <w:rsid w:val="22372D5E"/>
    <w:rsid w:val="22390BC0"/>
    <w:rsid w:val="22616520"/>
    <w:rsid w:val="2264470F"/>
    <w:rsid w:val="22661C93"/>
    <w:rsid w:val="22706F04"/>
    <w:rsid w:val="227F07C0"/>
    <w:rsid w:val="229570B3"/>
    <w:rsid w:val="22A011B6"/>
    <w:rsid w:val="22A8592E"/>
    <w:rsid w:val="22B33630"/>
    <w:rsid w:val="22BC6A81"/>
    <w:rsid w:val="22D41884"/>
    <w:rsid w:val="22E35CA8"/>
    <w:rsid w:val="22E820F6"/>
    <w:rsid w:val="22F20F94"/>
    <w:rsid w:val="22FD1670"/>
    <w:rsid w:val="2338228D"/>
    <w:rsid w:val="23480D4B"/>
    <w:rsid w:val="23661994"/>
    <w:rsid w:val="238226CE"/>
    <w:rsid w:val="23A31194"/>
    <w:rsid w:val="23AB4746"/>
    <w:rsid w:val="23B16DF4"/>
    <w:rsid w:val="23F5362A"/>
    <w:rsid w:val="23F87E93"/>
    <w:rsid w:val="23FB49B4"/>
    <w:rsid w:val="241A1EE8"/>
    <w:rsid w:val="24285144"/>
    <w:rsid w:val="24337F06"/>
    <w:rsid w:val="244372BA"/>
    <w:rsid w:val="245A0BFB"/>
    <w:rsid w:val="248A0941"/>
    <w:rsid w:val="24A75BFD"/>
    <w:rsid w:val="24AB3C9C"/>
    <w:rsid w:val="24CF41B2"/>
    <w:rsid w:val="24FB7A58"/>
    <w:rsid w:val="24FE1FB0"/>
    <w:rsid w:val="250D1497"/>
    <w:rsid w:val="251C6A34"/>
    <w:rsid w:val="252230CC"/>
    <w:rsid w:val="252B0417"/>
    <w:rsid w:val="252D55C2"/>
    <w:rsid w:val="252F4FC2"/>
    <w:rsid w:val="25384494"/>
    <w:rsid w:val="25491BE4"/>
    <w:rsid w:val="25792F5A"/>
    <w:rsid w:val="258341FA"/>
    <w:rsid w:val="2595537C"/>
    <w:rsid w:val="259C1B0C"/>
    <w:rsid w:val="25B1554B"/>
    <w:rsid w:val="25C672F4"/>
    <w:rsid w:val="25E53E10"/>
    <w:rsid w:val="26317743"/>
    <w:rsid w:val="263963E5"/>
    <w:rsid w:val="263D6A96"/>
    <w:rsid w:val="263F0FFD"/>
    <w:rsid w:val="26783E9C"/>
    <w:rsid w:val="26AC3422"/>
    <w:rsid w:val="26B035AE"/>
    <w:rsid w:val="26B666FF"/>
    <w:rsid w:val="26E4202D"/>
    <w:rsid w:val="26F13A5D"/>
    <w:rsid w:val="26F80B9D"/>
    <w:rsid w:val="270D1587"/>
    <w:rsid w:val="270D614F"/>
    <w:rsid w:val="27397B57"/>
    <w:rsid w:val="274B1BA9"/>
    <w:rsid w:val="277C5151"/>
    <w:rsid w:val="27CD1252"/>
    <w:rsid w:val="27E26A1A"/>
    <w:rsid w:val="28217904"/>
    <w:rsid w:val="28240821"/>
    <w:rsid w:val="284F4522"/>
    <w:rsid w:val="286B6166"/>
    <w:rsid w:val="28871C38"/>
    <w:rsid w:val="2888247C"/>
    <w:rsid w:val="28925CAF"/>
    <w:rsid w:val="28A27072"/>
    <w:rsid w:val="28AC7558"/>
    <w:rsid w:val="28BC290E"/>
    <w:rsid w:val="29451F53"/>
    <w:rsid w:val="29515D9F"/>
    <w:rsid w:val="2970338B"/>
    <w:rsid w:val="297A6991"/>
    <w:rsid w:val="298A2EDF"/>
    <w:rsid w:val="29920A20"/>
    <w:rsid w:val="29AC69A9"/>
    <w:rsid w:val="29C729F3"/>
    <w:rsid w:val="29C8661A"/>
    <w:rsid w:val="29CC7380"/>
    <w:rsid w:val="29DC48F5"/>
    <w:rsid w:val="29DE2AEF"/>
    <w:rsid w:val="29F871EC"/>
    <w:rsid w:val="2A373F3A"/>
    <w:rsid w:val="2A4709E6"/>
    <w:rsid w:val="2A5C3D05"/>
    <w:rsid w:val="2A6F0DD0"/>
    <w:rsid w:val="2AA66954"/>
    <w:rsid w:val="2AAA5E09"/>
    <w:rsid w:val="2AD117F4"/>
    <w:rsid w:val="2AD60EB4"/>
    <w:rsid w:val="2AF66E52"/>
    <w:rsid w:val="2AF7213C"/>
    <w:rsid w:val="2B0C17D4"/>
    <w:rsid w:val="2B10450E"/>
    <w:rsid w:val="2B2B1731"/>
    <w:rsid w:val="2B375366"/>
    <w:rsid w:val="2B3802B1"/>
    <w:rsid w:val="2B3A7C7D"/>
    <w:rsid w:val="2B5B072E"/>
    <w:rsid w:val="2B807144"/>
    <w:rsid w:val="2B814D40"/>
    <w:rsid w:val="2B8D5F95"/>
    <w:rsid w:val="2BC56B02"/>
    <w:rsid w:val="2BCD41B7"/>
    <w:rsid w:val="2BFF3962"/>
    <w:rsid w:val="2C0D03D0"/>
    <w:rsid w:val="2C31308C"/>
    <w:rsid w:val="2C372955"/>
    <w:rsid w:val="2C4E3584"/>
    <w:rsid w:val="2C572D05"/>
    <w:rsid w:val="2C666A38"/>
    <w:rsid w:val="2C7144D7"/>
    <w:rsid w:val="2C746584"/>
    <w:rsid w:val="2C7C6901"/>
    <w:rsid w:val="2C801B9A"/>
    <w:rsid w:val="2C84143D"/>
    <w:rsid w:val="2C886F8A"/>
    <w:rsid w:val="2CA15CC8"/>
    <w:rsid w:val="2CA43837"/>
    <w:rsid w:val="2CB45741"/>
    <w:rsid w:val="2CD25948"/>
    <w:rsid w:val="2CD45093"/>
    <w:rsid w:val="2CE03BE7"/>
    <w:rsid w:val="2CF53695"/>
    <w:rsid w:val="2D013D32"/>
    <w:rsid w:val="2D3C4ED0"/>
    <w:rsid w:val="2D431ADA"/>
    <w:rsid w:val="2DB25C9E"/>
    <w:rsid w:val="2DC3364B"/>
    <w:rsid w:val="2DC554DE"/>
    <w:rsid w:val="2DE25C15"/>
    <w:rsid w:val="2DF95D4B"/>
    <w:rsid w:val="2DFD2B30"/>
    <w:rsid w:val="2E02212A"/>
    <w:rsid w:val="2E0F0E02"/>
    <w:rsid w:val="2E0F3F42"/>
    <w:rsid w:val="2E197876"/>
    <w:rsid w:val="2E392B94"/>
    <w:rsid w:val="2E69448F"/>
    <w:rsid w:val="2E993143"/>
    <w:rsid w:val="2EAC0D15"/>
    <w:rsid w:val="2EC672E4"/>
    <w:rsid w:val="2EC84820"/>
    <w:rsid w:val="2EFD1A01"/>
    <w:rsid w:val="2F217240"/>
    <w:rsid w:val="2F2A3985"/>
    <w:rsid w:val="2F3B1AC5"/>
    <w:rsid w:val="2F3B3089"/>
    <w:rsid w:val="2F5A2924"/>
    <w:rsid w:val="2F6C43D1"/>
    <w:rsid w:val="2F9A3429"/>
    <w:rsid w:val="2FAE45AC"/>
    <w:rsid w:val="2FB222FF"/>
    <w:rsid w:val="2FBD29EA"/>
    <w:rsid w:val="2FD07CE1"/>
    <w:rsid w:val="2FD211BA"/>
    <w:rsid w:val="2FFE5354"/>
    <w:rsid w:val="30096713"/>
    <w:rsid w:val="301C179E"/>
    <w:rsid w:val="3047580B"/>
    <w:rsid w:val="304A3765"/>
    <w:rsid w:val="306837AC"/>
    <w:rsid w:val="30A32A3D"/>
    <w:rsid w:val="30A43898"/>
    <w:rsid w:val="30B16E52"/>
    <w:rsid w:val="30BE3E6D"/>
    <w:rsid w:val="30D20B4E"/>
    <w:rsid w:val="311664EB"/>
    <w:rsid w:val="31427C45"/>
    <w:rsid w:val="314F1772"/>
    <w:rsid w:val="3156690E"/>
    <w:rsid w:val="31606EF0"/>
    <w:rsid w:val="31622117"/>
    <w:rsid w:val="317D5725"/>
    <w:rsid w:val="31832C82"/>
    <w:rsid w:val="3185170E"/>
    <w:rsid w:val="319365A8"/>
    <w:rsid w:val="31947F0F"/>
    <w:rsid w:val="31962974"/>
    <w:rsid w:val="31A048D6"/>
    <w:rsid w:val="31A1067C"/>
    <w:rsid w:val="31C66341"/>
    <w:rsid w:val="321833CC"/>
    <w:rsid w:val="321C1CF8"/>
    <w:rsid w:val="32527078"/>
    <w:rsid w:val="328C645E"/>
    <w:rsid w:val="32990BA9"/>
    <w:rsid w:val="32AF6F77"/>
    <w:rsid w:val="32C24455"/>
    <w:rsid w:val="32D82ACC"/>
    <w:rsid w:val="32EB4245"/>
    <w:rsid w:val="33045E5A"/>
    <w:rsid w:val="331F035E"/>
    <w:rsid w:val="3327137C"/>
    <w:rsid w:val="3358331F"/>
    <w:rsid w:val="337109DB"/>
    <w:rsid w:val="337E6749"/>
    <w:rsid w:val="338102AE"/>
    <w:rsid w:val="338B4F0C"/>
    <w:rsid w:val="3399203E"/>
    <w:rsid w:val="33E701C9"/>
    <w:rsid w:val="34251036"/>
    <w:rsid w:val="34254DBF"/>
    <w:rsid w:val="345E145A"/>
    <w:rsid w:val="34801EB3"/>
    <w:rsid w:val="3484123C"/>
    <w:rsid w:val="349764CE"/>
    <w:rsid w:val="34C45D4F"/>
    <w:rsid w:val="34D10546"/>
    <w:rsid w:val="34D82C7C"/>
    <w:rsid w:val="34D85375"/>
    <w:rsid w:val="34EA000E"/>
    <w:rsid w:val="351473D9"/>
    <w:rsid w:val="35221EC5"/>
    <w:rsid w:val="35354922"/>
    <w:rsid w:val="354C6FC7"/>
    <w:rsid w:val="35503CF6"/>
    <w:rsid w:val="35627195"/>
    <w:rsid w:val="3573341E"/>
    <w:rsid w:val="35753A0D"/>
    <w:rsid w:val="35994B72"/>
    <w:rsid w:val="359C6740"/>
    <w:rsid w:val="35C16A4E"/>
    <w:rsid w:val="35CF6031"/>
    <w:rsid w:val="35E122AD"/>
    <w:rsid w:val="35E502C1"/>
    <w:rsid w:val="362600EC"/>
    <w:rsid w:val="362E7A04"/>
    <w:rsid w:val="36307211"/>
    <w:rsid w:val="36373763"/>
    <w:rsid w:val="36450A08"/>
    <w:rsid w:val="36464FAF"/>
    <w:rsid w:val="36AA6109"/>
    <w:rsid w:val="36AD5EFB"/>
    <w:rsid w:val="36B260C9"/>
    <w:rsid w:val="36DC2798"/>
    <w:rsid w:val="36DD319F"/>
    <w:rsid w:val="374C7CAF"/>
    <w:rsid w:val="37726DDB"/>
    <w:rsid w:val="37824115"/>
    <w:rsid w:val="37A35D40"/>
    <w:rsid w:val="37E26DE6"/>
    <w:rsid w:val="37EF74F1"/>
    <w:rsid w:val="37F51BF0"/>
    <w:rsid w:val="37FB7E39"/>
    <w:rsid w:val="3803773A"/>
    <w:rsid w:val="382D09A4"/>
    <w:rsid w:val="38576792"/>
    <w:rsid w:val="38722A42"/>
    <w:rsid w:val="388C66BC"/>
    <w:rsid w:val="38B25B1F"/>
    <w:rsid w:val="39023F55"/>
    <w:rsid w:val="39041A07"/>
    <w:rsid w:val="3984034C"/>
    <w:rsid w:val="398A21B4"/>
    <w:rsid w:val="3A577CEC"/>
    <w:rsid w:val="3AAC14A9"/>
    <w:rsid w:val="3ABF72A0"/>
    <w:rsid w:val="3AC118BB"/>
    <w:rsid w:val="3AC65BB8"/>
    <w:rsid w:val="3AD130AB"/>
    <w:rsid w:val="3ADC520A"/>
    <w:rsid w:val="3B115766"/>
    <w:rsid w:val="3B241FDE"/>
    <w:rsid w:val="3B352EE3"/>
    <w:rsid w:val="3B5B7A55"/>
    <w:rsid w:val="3B74716B"/>
    <w:rsid w:val="3B857FF7"/>
    <w:rsid w:val="3B9F07C1"/>
    <w:rsid w:val="3B9F4B50"/>
    <w:rsid w:val="3BAB5DED"/>
    <w:rsid w:val="3BB54A0E"/>
    <w:rsid w:val="3BB843D5"/>
    <w:rsid w:val="3BBE39B4"/>
    <w:rsid w:val="3C143D8E"/>
    <w:rsid w:val="3C822914"/>
    <w:rsid w:val="3CE205E4"/>
    <w:rsid w:val="3CF031AE"/>
    <w:rsid w:val="3CF62E1A"/>
    <w:rsid w:val="3D0E2E07"/>
    <w:rsid w:val="3D183BC8"/>
    <w:rsid w:val="3D196F79"/>
    <w:rsid w:val="3D1C4C7D"/>
    <w:rsid w:val="3D2B611B"/>
    <w:rsid w:val="3D330E9A"/>
    <w:rsid w:val="3D4A0C8B"/>
    <w:rsid w:val="3D4B16B3"/>
    <w:rsid w:val="3D8004F7"/>
    <w:rsid w:val="3D910165"/>
    <w:rsid w:val="3DB268E0"/>
    <w:rsid w:val="3DBE5AF0"/>
    <w:rsid w:val="3DC345C7"/>
    <w:rsid w:val="3DE30729"/>
    <w:rsid w:val="3E4F677C"/>
    <w:rsid w:val="3E556E96"/>
    <w:rsid w:val="3E6356B0"/>
    <w:rsid w:val="3E8862B3"/>
    <w:rsid w:val="3E8947A2"/>
    <w:rsid w:val="3E8B2EA9"/>
    <w:rsid w:val="3E911B4F"/>
    <w:rsid w:val="3E936339"/>
    <w:rsid w:val="3F0042A3"/>
    <w:rsid w:val="3F0055B5"/>
    <w:rsid w:val="3F1A5B5C"/>
    <w:rsid w:val="3F2778E8"/>
    <w:rsid w:val="3F280500"/>
    <w:rsid w:val="3F4B5E13"/>
    <w:rsid w:val="3F4F4DC9"/>
    <w:rsid w:val="3F726B1E"/>
    <w:rsid w:val="3F7458E1"/>
    <w:rsid w:val="3F812127"/>
    <w:rsid w:val="3F892170"/>
    <w:rsid w:val="3F8B2E92"/>
    <w:rsid w:val="3F97181D"/>
    <w:rsid w:val="3FC52196"/>
    <w:rsid w:val="3FC824AE"/>
    <w:rsid w:val="40263B82"/>
    <w:rsid w:val="404C40C7"/>
    <w:rsid w:val="407738BE"/>
    <w:rsid w:val="40775F7D"/>
    <w:rsid w:val="408808DD"/>
    <w:rsid w:val="408B272F"/>
    <w:rsid w:val="4095736D"/>
    <w:rsid w:val="40A332E2"/>
    <w:rsid w:val="40C16E2A"/>
    <w:rsid w:val="40D23967"/>
    <w:rsid w:val="40D3705B"/>
    <w:rsid w:val="40E947E2"/>
    <w:rsid w:val="40F06B0A"/>
    <w:rsid w:val="41090989"/>
    <w:rsid w:val="410A05BD"/>
    <w:rsid w:val="412732D0"/>
    <w:rsid w:val="414A78C4"/>
    <w:rsid w:val="415858B6"/>
    <w:rsid w:val="41687EF0"/>
    <w:rsid w:val="4183362F"/>
    <w:rsid w:val="41B84E90"/>
    <w:rsid w:val="41CC4BF2"/>
    <w:rsid w:val="41F5076D"/>
    <w:rsid w:val="41FB68FA"/>
    <w:rsid w:val="422C573F"/>
    <w:rsid w:val="42383E4B"/>
    <w:rsid w:val="424A6EB6"/>
    <w:rsid w:val="4259643B"/>
    <w:rsid w:val="42946243"/>
    <w:rsid w:val="429C4565"/>
    <w:rsid w:val="42D111B6"/>
    <w:rsid w:val="42D15553"/>
    <w:rsid w:val="42D9010C"/>
    <w:rsid w:val="42E45303"/>
    <w:rsid w:val="431933F2"/>
    <w:rsid w:val="4321076A"/>
    <w:rsid w:val="432509B6"/>
    <w:rsid w:val="43262E80"/>
    <w:rsid w:val="43591B88"/>
    <w:rsid w:val="436B664D"/>
    <w:rsid w:val="43714022"/>
    <w:rsid w:val="43767CC2"/>
    <w:rsid w:val="438756B4"/>
    <w:rsid w:val="440B2E8F"/>
    <w:rsid w:val="44576B93"/>
    <w:rsid w:val="445B76CA"/>
    <w:rsid w:val="44715CA5"/>
    <w:rsid w:val="449570E5"/>
    <w:rsid w:val="44957341"/>
    <w:rsid w:val="449F7195"/>
    <w:rsid w:val="44ED6A34"/>
    <w:rsid w:val="450D7E1E"/>
    <w:rsid w:val="45205FCA"/>
    <w:rsid w:val="4525618A"/>
    <w:rsid w:val="45420897"/>
    <w:rsid w:val="455A3DEA"/>
    <w:rsid w:val="45651678"/>
    <w:rsid w:val="456A222E"/>
    <w:rsid w:val="45716CC0"/>
    <w:rsid w:val="45772615"/>
    <w:rsid w:val="458062DA"/>
    <w:rsid w:val="45816676"/>
    <w:rsid w:val="4598679F"/>
    <w:rsid w:val="45BA7C82"/>
    <w:rsid w:val="45BF59BA"/>
    <w:rsid w:val="45CD0AE5"/>
    <w:rsid w:val="45DE6B89"/>
    <w:rsid w:val="45EC2665"/>
    <w:rsid w:val="46023E10"/>
    <w:rsid w:val="46680858"/>
    <w:rsid w:val="466E7185"/>
    <w:rsid w:val="46702CFD"/>
    <w:rsid w:val="468844DF"/>
    <w:rsid w:val="46915581"/>
    <w:rsid w:val="4694523D"/>
    <w:rsid w:val="46A33C73"/>
    <w:rsid w:val="46CB5EB5"/>
    <w:rsid w:val="46FF7089"/>
    <w:rsid w:val="471F51BB"/>
    <w:rsid w:val="474B3EF4"/>
    <w:rsid w:val="475C14B7"/>
    <w:rsid w:val="475C2675"/>
    <w:rsid w:val="47814BA0"/>
    <w:rsid w:val="47871DF1"/>
    <w:rsid w:val="479F34D7"/>
    <w:rsid w:val="47B51B71"/>
    <w:rsid w:val="47C42D99"/>
    <w:rsid w:val="47D745DB"/>
    <w:rsid w:val="47EC0249"/>
    <w:rsid w:val="47F57B99"/>
    <w:rsid w:val="483D3A7C"/>
    <w:rsid w:val="48495532"/>
    <w:rsid w:val="48501A0A"/>
    <w:rsid w:val="486B11B3"/>
    <w:rsid w:val="48790AC7"/>
    <w:rsid w:val="487C6619"/>
    <w:rsid w:val="48C013B6"/>
    <w:rsid w:val="48CC1CAD"/>
    <w:rsid w:val="48CF1941"/>
    <w:rsid w:val="48FB1B94"/>
    <w:rsid w:val="48FE6255"/>
    <w:rsid w:val="494103C2"/>
    <w:rsid w:val="495C750E"/>
    <w:rsid w:val="49761959"/>
    <w:rsid w:val="497D7662"/>
    <w:rsid w:val="498F1E7A"/>
    <w:rsid w:val="49975F52"/>
    <w:rsid w:val="499C39E1"/>
    <w:rsid w:val="49A76706"/>
    <w:rsid w:val="49A96AFC"/>
    <w:rsid w:val="49C71361"/>
    <w:rsid w:val="49D577F5"/>
    <w:rsid w:val="49DD3FE8"/>
    <w:rsid w:val="49DF705A"/>
    <w:rsid w:val="49FF3561"/>
    <w:rsid w:val="4A0661EF"/>
    <w:rsid w:val="4A0762FF"/>
    <w:rsid w:val="4A1C6E05"/>
    <w:rsid w:val="4A26327A"/>
    <w:rsid w:val="4A284B03"/>
    <w:rsid w:val="4A582733"/>
    <w:rsid w:val="4A677AEB"/>
    <w:rsid w:val="4A6C72D9"/>
    <w:rsid w:val="4A7C0D23"/>
    <w:rsid w:val="4ACC7627"/>
    <w:rsid w:val="4AF75867"/>
    <w:rsid w:val="4B0511C1"/>
    <w:rsid w:val="4B2962C7"/>
    <w:rsid w:val="4B7168B9"/>
    <w:rsid w:val="4B751C53"/>
    <w:rsid w:val="4B7F0598"/>
    <w:rsid w:val="4B9E173E"/>
    <w:rsid w:val="4BA16039"/>
    <w:rsid w:val="4BFA7D8B"/>
    <w:rsid w:val="4C1B3613"/>
    <w:rsid w:val="4C5511DA"/>
    <w:rsid w:val="4C5628FC"/>
    <w:rsid w:val="4C627FE3"/>
    <w:rsid w:val="4C724B9C"/>
    <w:rsid w:val="4C9B2EE3"/>
    <w:rsid w:val="4CA44916"/>
    <w:rsid w:val="4CAC78FD"/>
    <w:rsid w:val="4CC14C1D"/>
    <w:rsid w:val="4CC73B96"/>
    <w:rsid w:val="4CF51404"/>
    <w:rsid w:val="4CFE5730"/>
    <w:rsid w:val="4D0F6D98"/>
    <w:rsid w:val="4D260B9E"/>
    <w:rsid w:val="4D3B6CD8"/>
    <w:rsid w:val="4D713CB2"/>
    <w:rsid w:val="4D7F11A4"/>
    <w:rsid w:val="4D8A408B"/>
    <w:rsid w:val="4D8A6D63"/>
    <w:rsid w:val="4D90495A"/>
    <w:rsid w:val="4D9564DC"/>
    <w:rsid w:val="4DAF757B"/>
    <w:rsid w:val="4DCD5A80"/>
    <w:rsid w:val="4DD247E9"/>
    <w:rsid w:val="4DD50704"/>
    <w:rsid w:val="4DD96219"/>
    <w:rsid w:val="4DF3707A"/>
    <w:rsid w:val="4DFE5297"/>
    <w:rsid w:val="4E1208BC"/>
    <w:rsid w:val="4E5E14BC"/>
    <w:rsid w:val="4E7C0BEA"/>
    <w:rsid w:val="4E8763CA"/>
    <w:rsid w:val="4EC920A8"/>
    <w:rsid w:val="4EE34C44"/>
    <w:rsid w:val="4F22282B"/>
    <w:rsid w:val="4F3B74E5"/>
    <w:rsid w:val="4F5A12AA"/>
    <w:rsid w:val="4F6179BC"/>
    <w:rsid w:val="4F7777B3"/>
    <w:rsid w:val="4F9C54B8"/>
    <w:rsid w:val="4F9E7DC7"/>
    <w:rsid w:val="4FB6480E"/>
    <w:rsid w:val="4FC82638"/>
    <w:rsid w:val="4FD429B9"/>
    <w:rsid w:val="4FEF1F1F"/>
    <w:rsid w:val="4FF238D8"/>
    <w:rsid w:val="500D6140"/>
    <w:rsid w:val="50233620"/>
    <w:rsid w:val="502C361D"/>
    <w:rsid w:val="504E7B14"/>
    <w:rsid w:val="504E7E96"/>
    <w:rsid w:val="50523B8E"/>
    <w:rsid w:val="505F35EC"/>
    <w:rsid w:val="507B58F8"/>
    <w:rsid w:val="50A17351"/>
    <w:rsid w:val="50B02E66"/>
    <w:rsid w:val="50B74F84"/>
    <w:rsid w:val="50F9721E"/>
    <w:rsid w:val="515227DF"/>
    <w:rsid w:val="518165D3"/>
    <w:rsid w:val="51C0339E"/>
    <w:rsid w:val="51C92EAF"/>
    <w:rsid w:val="51D853FB"/>
    <w:rsid w:val="52262723"/>
    <w:rsid w:val="522927FD"/>
    <w:rsid w:val="52663E1E"/>
    <w:rsid w:val="526E0DF3"/>
    <w:rsid w:val="52734006"/>
    <w:rsid w:val="52765F0B"/>
    <w:rsid w:val="52964AC5"/>
    <w:rsid w:val="52E12A93"/>
    <w:rsid w:val="52F450A9"/>
    <w:rsid w:val="53123015"/>
    <w:rsid w:val="53125180"/>
    <w:rsid w:val="53173007"/>
    <w:rsid w:val="53373966"/>
    <w:rsid w:val="53463571"/>
    <w:rsid w:val="53563BE3"/>
    <w:rsid w:val="535A0375"/>
    <w:rsid w:val="53761F75"/>
    <w:rsid w:val="53772550"/>
    <w:rsid w:val="537D2903"/>
    <w:rsid w:val="53810CBC"/>
    <w:rsid w:val="53D7410F"/>
    <w:rsid w:val="53EA6C75"/>
    <w:rsid w:val="53F67114"/>
    <w:rsid w:val="53FC4BE6"/>
    <w:rsid w:val="53FC666C"/>
    <w:rsid w:val="53FD4691"/>
    <w:rsid w:val="543078F7"/>
    <w:rsid w:val="54477BF1"/>
    <w:rsid w:val="544B3C73"/>
    <w:rsid w:val="54605F8E"/>
    <w:rsid w:val="54655303"/>
    <w:rsid w:val="54685EDC"/>
    <w:rsid w:val="54DB60BD"/>
    <w:rsid w:val="54F6464B"/>
    <w:rsid w:val="54F66F1D"/>
    <w:rsid w:val="551B7968"/>
    <w:rsid w:val="553E0464"/>
    <w:rsid w:val="553E31FA"/>
    <w:rsid w:val="55442971"/>
    <w:rsid w:val="5546586B"/>
    <w:rsid w:val="556F262F"/>
    <w:rsid w:val="559C0E43"/>
    <w:rsid w:val="55AD3F26"/>
    <w:rsid w:val="55B25426"/>
    <w:rsid w:val="55BC4957"/>
    <w:rsid w:val="55D06E65"/>
    <w:rsid w:val="55F04BA1"/>
    <w:rsid w:val="5616472D"/>
    <w:rsid w:val="56165AB6"/>
    <w:rsid w:val="56212A20"/>
    <w:rsid w:val="56427B02"/>
    <w:rsid w:val="564636A8"/>
    <w:rsid w:val="56524A8F"/>
    <w:rsid w:val="56543AB9"/>
    <w:rsid w:val="56557909"/>
    <w:rsid w:val="56765A63"/>
    <w:rsid w:val="567F235D"/>
    <w:rsid w:val="568D6C41"/>
    <w:rsid w:val="56A95C24"/>
    <w:rsid w:val="56B2070D"/>
    <w:rsid w:val="56BB052E"/>
    <w:rsid w:val="56C25EE7"/>
    <w:rsid w:val="56C975DD"/>
    <w:rsid w:val="56E208DB"/>
    <w:rsid w:val="57386B35"/>
    <w:rsid w:val="574327EE"/>
    <w:rsid w:val="574509A7"/>
    <w:rsid w:val="576207F2"/>
    <w:rsid w:val="576A66AB"/>
    <w:rsid w:val="57795BBA"/>
    <w:rsid w:val="578106A7"/>
    <w:rsid w:val="57895C23"/>
    <w:rsid w:val="579E3CDF"/>
    <w:rsid w:val="57A72A4F"/>
    <w:rsid w:val="57B578CE"/>
    <w:rsid w:val="57DC2EE0"/>
    <w:rsid w:val="57E43FD4"/>
    <w:rsid w:val="58116290"/>
    <w:rsid w:val="581B6991"/>
    <w:rsid w:val="58234CA5"/>
    <w:rsid w:val="58316048"/>
    <w:rsid w:val="58370A4F"/>
    <w:rsid w:val="58402B1A"/>
    <w:rsid w:val="58997CFF"/>
    <w:rsid w:val="589F0760"/>
    <w:rsid w:val="58A5620B"/>
    <w:rsid w:val="58C311CB"/>
    <w:rsid w:val="58C4786B"/>
    <w:rsid w:val="58DD39E5"/>
    <w:rsid w:val="590B50F0"/>
    <w:rsid w:val="59215E9E"/>
    <w:rsid w:val="59362F70"/>
    <w:rsid w:val="59557A34"/>
    <w:rsid w:val="595D0B84"/>
    <w:rsid w:val="59664821"/>
    <w:rsid w:val="598E47D6"/>
    <w:rsid w:val="59B74C80"/>
    <w:rsid w:val="59DF4078"/>
    <w:rsid w:val="59E43AB3"/>
    <w:rsid w:val="59F9232E"/>
    <w:rsid w:val="5A0D73EB"/>
    <w:rsid w:val="5A293818"/>
    <w:rsid w:val="5A392DCD"/>
    <w:rsid w:val="5A3B6845"/>
    <w:rsid w:val="5A521255"/>
    <w:rsid w:val="5A5A01CD"/>
    <w:rsid w:val="5A5F5DFB"/>
    <w:rsid w:val="5A641B86"/>
    <w:rsid w:val="5A945055"/>
    <w:rsid w:val="5A9E61B3"/>
    <w:rsid w:val="5AA86577"/>
    <w:rsid w:val="5AB05016"/>
    <w:rsid w:val="5ADD429A"/>
    <w:rsid w:val="5ADE449B"/>
    <w:rsid w:val="5AF0292A"/>
    <w:rsid w:val="5AFF7F5E"/>
    <w:rsid w:val="5B030C8C"/>
    <w:rsid w:val="5B0638CE"/>
    <w:rsid w:val="5B303CF4"/>
    <w:rsid w:val="5B3B0D5D"/>
    <w:rsid w:val="5B3E5EB3"/>
    <w:rsid w:val="5B40296B"/>
    <w:rsid w:val="5B5D4FCC"/>
    <w:rsid w:val="5B6A75C3"/>
    <w:rsid w:val="5B7F05D6"/>
    <w:rsid w:val="5B856965"/>
    <w:rsid w:val="5B9A1251"/>
    <w:rsid w:val="5B9F3089"/>
    <w:rsid w:val="5B9F4D89"/>
    <w:rsid w:val="5BB94922"/>
    <w:rsid w:val="5BCA1A14"/>
    <w:rsid w:val="5BD22656"/>
    <w:rsid w:val="5BE72193"/>
    <w:rsid w:val="5C253ABE"/>
    <w:rsid w:val="5C501F20"/>
    <w:rsid w:val="5C6160D3"/>
    <w:rsid w:val="5C7C0372"/>
    <w:rsid w:val="5C7F41AE"/>
    <w:rsid w:val="5CA673BB"/>
    <w:rsid w:val="5CCE6073"/>
    <w:rsid w:val="5CF670E9"/>
    <w:rsid w:val="5D0C0A08"/>
    <w:rsid w:val="5D1756AA"/>
    <w:rsid w:val="5D1A053B"/>
    <w:rsid w:val="5D285854"/>
    <w:rsid w:val="5D391700"/>
    <w:rsid w:val="5D45677B"/>
    <w:rsid w:val="5D714E7F"/>
    <w:rsid w:val="5D8953CC"/>
    <w:rsid w:val="5D8C5CF8"/>
    <w:rsid w:val="5D9748C9"/>
    <w:rsid w:val="5DA12141"/>
    <w:rsid w:val="5DA32353"/>
    <w:rsid w:val="5DFD51C6"/>
    <w:rsid w:val="5E091529"/>
    <w:rsid w:val="5E1D7950"/>
    <w:rsid w:val="5E2025BB"/>
    <w:rsid w:val="5E4B5CEC"/>
    <w:rsid w:val="5E74022C"/>
    <w:rsid w:val="5E887C0B"/>
    <w:rsid w:val="5E8E785E"/>
    <w:rsid w:val="5E9A6CF8"/>
    <w:rsid w:val="5EC8392A"/>
    <w:rsid w:val="5EE91CAA"/>
    <w:rsid w:val="5F135636"/>
    <w:rsid w:val="5F262E2A"/>
    <w:rsid w:val="5F393038"/>
    <w:rsid w:val="5F7F01C0"/>
    <w:rsid w:val="5FB44471"/>
    <w:rsid w:val="5FD52B93"/>
    <w:rsid w:val="5FE17AFF"/>
    <w:rsid w:val="60136E90"/>
    <w:rsid w:val="60311576"/>
    <w:rsid w:val="604931D8"/>
    <w:rsid w:val="605257B1"/>
    <w:rsid w:val="60537B20"/>
    <w:rsid w:val="6065783C"/>
    <w:rsid w:val="606E6CB0"/>
    <w:rsid w:val="607834BC"/>
    <w:rsid w:val="60976287"/>
    <w:rsid w:val="60A74743"/>
    <w:rsid w:val="60B24E64"/>
    <w:rsid w:val="60B97009"/>
    <w:rsid w:val="610319DA"/>
    <w:rsid w:val="611833FF"/>
    <w:rsid w:val="612904BB"/>
    <w:rsid w:val="613E56A0"/>
    <w:rsid w:val="61775EFE"/>
    <w:rsid w:val="617F763A"/>
    <w:rsid w:val="61820442"/>
    <w:rsid w:val="618B0669"/>
    <w:rsid w:val="61A573F9"/>
    <w:rsid w:val="61AD12B2"/>
    <w:rsid w:val="61D7289D"/>
    <w:rsid w:val="62124F5D"/>
    <w:rsid w:val="62141BD3"/>
    <w:rsid w:val="62260510"/>
    <w:rsid w:val="62AC2BD3"/>
    <w:rsid w:val="62DB3055"/>
    <w:rsid w:val="63382BB3"/>
    <w:rsid w:val="633B29CF"/>
    <w:rsid w:val="634B2262"/>
    <w:rsid w:val="635353DB"/>
    <w:rsid w:val="63674162"/>
    <w:rsid w:val="637C4D1E"/>
    <w:rsid w:val="639B4EFC"/>
    <w:rsid w:val="63D762AB"/>
    <w:rsid w:val="6404270D"/>
    <w:rsid w:val="64455162"/>
    <w:rsid w:val="64727072"/>
    <w:rsid w:val="648D2B86"/>
    <w:rsid w:val="64944576"/>
    <w:rsid w:val="64BA1A1F"/>
    <w:rsid w:val="64EA39BA"/>
    <w:rsid w:val="64EC14A1"/>
    <w:rsid w:val="65055CF6"/>
    <w:rsid w:val="65264C1B"/>
    <w:rsid w:val="654E0CD6"/>
    <w:rsid w:val="654F7720"/>
    <w:rsid w:val="655008AA"/>
    <w:rsid w:val="65613193"/>
    <w:rsid w:val="65713E03"/>
    <w:rsid w:val="65725B9B"/>
    <w:rsid w:val="65A655A5"/>
    <w:rsid w:val="65BF722A"/>
    <w:rsid w:val="65D2098B"/>
    <w:rsid w:val="65D35477"/>
    <w:rsid w:val="65E00AB1"/>
    <w:rsid w:val="65E64961"/>
    <w:rsid w:val="65E91EE9"/>
    <w:rsid w:val="65EC66DF"/>
    <w:rsid w:val="65F410EB"/>
    <w:rsid w:val="66084542"/>
    <w:rsid w:val="661F5826"/>
    <w:rsid w:val="66491F9F"/>
    <w:rsid w:val="669811C1"/>
    <w:rsid w:val="66A458C8"/>
    <w:rsid w:val="66AB7765"/>
    <w:rsid w:val="66CA27CA"/>
    <w:rsid w:val="66DE1762"/>
    <w:rsid w:val="66E878F1"/>
    <w:rsid w:val="66FE199D"/>
    <w:rsid w:val="67383BB3"/>
    <w:rsid w:val="673B6742"/>
    <w:rsid w:val="67423BE6"/>
    <w:rsid w:val="677D5821"/>
    <w:rsid w:val="679630CE"/>
    <w:rsid w:val="67982696"/>
    <w:rsid w:val="67A61CFB"/>
    <w:rsid w:val="67A64A00"/>
    <w:rsid w:val="67B07CF4"/>
    <w:rsid w:val="67B67F64"/>
    <w:rsid w:val="67BF3CF6"/>
    <w:rsid w:val="67DD1B8B"/>
    <w:rsid w:val="680002D4"/>
    <w:rsid w:val="680B1C78"/>
    <w:rsid w:val="68127EEE"/>
    <w:rsid w:val="682A3DBA"/>
    <w:rsid w:val="683D3FA9"/>
    <w:rsid w:val="68596307"/>
    <w:rsid w:val="685A7A4D"/>
    <w:rsid w:val="6874663A"/>
    <w:rsid w:val="68926403"/>
    <w:rsid w:val="68BE35ED"/>
    <w:rsid w:val="69215484"/>
    <w:rsid w:val="69973176"/>
    <w:rsid w:val="69B605D0"/>
    <w:rsid w:val="69E4336B"/>
    <w:rsid w:val="69F3707D"/>
    <w:rsid w:val="69FC7CB6"/>
    <w:rsid w:val="6A005293"/>
    <w:rsid w:val="6A0057DF"/>
    <w:rsid w:val="6A0105DF"/>
    <w:rsid w:val="6A421ADD"/>
    <w:rsid w:val="6A5E7A24"/>
    <w:rsid w:val="6A5F4234"/>
    <w:rsid w:val="6A6E0B52"/>
    <w:rsid w:val="6AA27EA8"/>
    <w:rsid w:val="6AC36BD9"/>
    <w:rsid w:val="6B0C0423"/>
    <w:rsid w:val="6B1C6C24"/>
    <w:rsid w:val="6B1D081F"/>
    <w:rsid w:val="6B3E188D"/>
    <w:rsid w:val="6B6275E8"/>
    <w:rsid w:val="6B6A39CE"/>
    <w:rsid w:val="6B7911F7"/>
    <w:rsid w:val="6B8B798D"/>
    <w:rsid w:val="6B8E607C"/>
    <w:rsid w:val="6BA66610"/>
    <w:rsid w:val="6BC1482B"/>
    <w:rsid w:val="6BDB701B"/>
    <w:rsid w:val="6C0D57AD"/>
    <w:rsid w:val="6C181704"/>
    <w:rsid w:val="6C23193C"/>
    <w:rsid w:val="6C2339E8"/>
    <w:rsid w:val="6C236789"/>
    <w:rsid w:val="6C476D99"/>
    <w:rsid w:val="6C495A7E"/>
    <w:rsid w:val="6C4A47CE"/>
    <w:rsid w:val="6C5C660A"/>
    <w:rsid w:val="6C7B2691"/>
    <w:rsid w:val="6C886366"/>
    <w:rsid w:val="6C935749"/>
    <w:rsid w:val="6CC0323D"/>
    <w:rsid w:val="6CC1617A"/>
    <w:rsid w:val="6CCA04E7"/>
    <w:rsid w:val="6CD77ECB"/>
    <w:rsid w:val="6CE14CE3"/>
    <w:rsid w:val="6CEC228D"/>
    <w:rsid w:val="6CF80296"/>
    <w:rsid w:val="6D6A181C"/>
    <w:rsid w:val="6D783D83"/>
    <w:rsid w:val="6D802C80"/>
    <w:rsid w:val="6DF12165"/>
    <w:rsid w:val="6DFD0B0A"/>
    <w:rsid w:val="6E3B50E8"/>
    <w:rsid w:val="6E566E29"/>
    <w:rsid w:val="6E594608"/>
    <w:rsid w:val="6E711186"/>
    <w:rsid w:val="6E7172D3"/>
    <w:rsid w:val="6E934362"/>
    <w:rsid w:val="6EC00F5A"/>
    <w:rsid w:val="6F410774"/>
    <w:rsid w:val="6F6D7CF0"/>
    <w:rsid w:val="6F960822"/>
    <w:rsid w:val="6FCA5146"/>
    <w:rsid w:val="70086890"/>
    <w:rsid w:val="700D5ECC"/>
    <w:rsid w:val="70273275"/>
    <w:rsid w:val="70295A02"/>
    <w:rsid w:val="704C1D80"/>
    <w:rsid w:val="7061233E"/>
    <w:rsid w:val="706452F1"/>
    <w:rsid w:val="707E492C"/>
    <w:rsid w:val="70864FDA"/>
    <w:rsid w:val="70980155"/>
    <w:rsid w:val="70A91ABF"/>
    <w:rsid w:val="70BB5203"/>
    <w:rsid w:val="70BF4078"/>
    <w:rsid w:val="70C51769"/>
    <w:rsid w:val="70CB543C"/>
    <w:rsid w:val="70CC2683"/>
    <w:rsid w:val="70D91134"/>
    <w:rsid w:val="70E531E0"/>
    <w:rsid w:val="70E85E85"/>
    <w:rsid w:val="70EC1C0F"/>
    <w:rsid w:val="71004F58"/>
    <w:rsid w:val="711F75C4"/>
    <w:rsid w:val="712C616B"/>
    <w:rsid w:val="717853D2"/>
    <w:rsid w:val="7181564E"/>
    <w:rsid w:val="719000BF"/>
    <w:rsid w:val="71913892"/>
    <w:rsid w:val="71986926"/>
    <w:rsid w:val="71DF2D76"/>
    <w:rsid w:val="71EB618A"/>
    <w:rsid w:val="725B2CB3"/>
    <w:rsid w:val="7298366B"/>
    <w:rsid w:val="72A44E25"/>
    <w:rsid w:val="72AD3C3E"/>
    <w:rsid w:val="72F6728F"/>
    <w:rsid w:val="72F951CB"/>
    <w:rsid w:val="73405D20"/>
    <w:rsid w:val="735D00A2"/>
    <w:rsid w:val="739738F2"/>
    <w:rsid w:val="7398240A"/>
    <w:rsid w:val="739E37EF"/>
    <w:rsid w:val="73A33C6B"/>
    <w:rsid w:val="73B06CA3"/>
    <w:rsid w:val="73C90495"/>
    <w:rsid w:val="740E502E"/>
    <w:rsid w:val="74181687"/>
    <w:rsid w:val="74206AF2"/>
    <w:rsid w:val="742611BB"/>
    <w:rsid w:val="7435536C"/>
    <w:rsid w:val="744557DB"/>
    <w:rsid w:val="74490138"/>
    <w:rsid w:val="74501FD4"/>
    <w:rsid w:val="745C6B80"/>
    <w:rsid w:val="7474057A"/>
    <w:rsid w:val="748B64ED"/>
    <w:rsid w:val="74B96C22"/>
    <w:rsid w:val="74BE1CCE"/>
    <w:rsid w:val="74C9428C"/>
    <w:rsid w:val="74D64153"/>
    <w:rsid w:val="74EC7749"/>
    <w:rsid w:val="750E398F"/>
    <w:rsid w:val="75144D2E"/>
    <w:rsid w:val="75205ADF"/>
    <w:rsid w:val="75380B6A"/>
    <w:rsid w:val="753E4383"/>
    <w:rsid w:val="753F42BB"/>
    <w:rsid w:val="759825C5"/>
    <w:rsid w:val="75B16CE6"/>
    <w:rsid w:val="75D3146F"/>
    <w:rsid w:val="75D37E0B"/>
    <w:rsid w:val="75E95C2A"/>
    <w:rsid w:val="76087579"/>
    <w:rsid w:val="760A1879"/>
    <w:rsid w:val="76122D2E"/>
    <w:rsid w:val="761E33EC"/>
    <w:rsid w:val="76371FD9"/>
    <w:rsid w:val="763E2F90"/>
    <w:rsid w:val="76506E84"/>
    <w:rsid w:val="767F5024"/>
    <w:rsid w:val="7693293C"/>
    <w:rsid w:val="769A46E3"/>
    <w:rsid w:val="769B2B54"/>
    <w:rsid w:val="76CD0AAD"/>
    <w:rsid w:val="77406A57"/>
    <w:rsid w:val="774D1126"/>
    <w:rsid w:val="776774C1"/>
    <w:rsid w:val="776E2DE6"/>
    <w:rsid w:val="777B0EA0"/>
    <w:rsid w:val="77832E6C"/>
    <w:rsid w:val="77862161"/>
    <w:rsid w:val="779478D3"/>
    <w:rsid w:val="779561C4"/>
    <w:rsid w:val="77DA62FB"/>
    <w:rsid w:val="77F8250D"/>
    <w:rsid w:val="77F83B17"/>
    <w:rsid w:val="78151CFF"/>
    <w:rsid w:val="781D2623"/>
    <w:rsid w:val="7826505B"/>
    <w:rsid w:val="7836745F"/>
    <w:rsid w:val="783B7552"/>
    <w:rsid w:val="785D761B"/>
    <w:rsid w:val="7882171C"/>
    <w:rsid w:val="78984B5F"/>
    <w:rsid w:val="78B13D64"/>
    <w:rsid w:val="78C63962"/>
    <w:rsid w:val="78C72705"/>
    <w:rsid w:val="790D1FB3"/>
    <w:rsid w:val="79205BEA"/>
    <w:rsid w:val="792A2419"/>
    <w:rsid w:val="79337AB2"/>
    <w:rsid w:val="79420E94"/>
    <w:rsid w:val="794B4A7E"/>
    <w:rsid w:val="79590F2E"/>
    <w:rsid w:val="7979210C"/>
    <w:rsid w:val="79B15C6C"/>
    <w:rsid w:val="79C15FB8"/>
    <w:rsid w:val="7A0B1706"/>
    <w:rsid w:val="7A0E0595"/>
    <w:rsid w:val="7A2D3656"/>
    <w:rsid w:val="7A3E3041"/>
    <w:rsid w:val="7A4430A5"/>
    <w:rsid w:val="7A4E2EB9"/>
    <w:rsid w:val="7A500D5D"/>
    <w:rsid w:val="7A535196"/>
    <w:rsid w:val="7A6303F6"/>
    <w:rsid w:val="7AB7051A"/>
    <w:rsid w:val="7ADB5C4A"/>
    <w:rsid w:val="7ADC0E2B"/>
    <w:rsid w:val="7AE46AD7"/>
    <w:rsid w:val="7AF76220"/>
    <w:rsid w:val="7AFE0FA8"/>
    <w:rsid w:val="7B5F34F8"/>
    <w:rsid w:val="7B615082"/>
    <w:rsid w:val="7B617807"/>
    <w:rsid w:val="7B86620B"/>
    <w:rsid w:val="7B925D61"/>
    <w:rsid w:val="7BAE570F"/>
    <w:rsid w:val="7BB51477"/>
    <w:rsid w:val="7BB90B85"/>
    <w:rsid w:val="7BC36D99"/>
    <w:rsid w:val="7BCE6A3D"/>
    <w:rsid w:val="7BEA12F0"/>
    <w:rsid w:val="7BEB1750"/>
    <w:rsid w:val="7C0206CC"/>
    <w:rsid w:val="7C123C23"/>
    <w:rsid w:val="7C2373F5"/>
    <w:rsid w:val="7C366A9D"/>
    <w:rsid w:val="7C3C3698"/>
    <w:rsid w:val="7C5D0B74"/>
    <w:rsid w:val="7C614623"/>
    <w:rsid w:val="7C7F3C60"/>
    <w:rsid w:val="7C840D27"/>
    <w:rsid w:val="7CA0257C"/>
    <w:rsid w:val="7CC14581"/>
    <w:rsid w:val="7CCF1F88"/>
    <w:rsid w:val="7CF8230A"/>
    <w:rsid w:val="7D0E28FD"/>
    <w:rsid w:val="7D292996"/>
    <w:rsid w:val="7D3970AF"/>
    <w:rsid w:val="7D3E403A"/>
    <w:rsid w:val="7D4130E1"/>
    <w:rsid w:val="7D8204E9"/>
    <w:rsid w:val="7DA21EFA"/>
    <w:rsid w:val="7DCE33A1"/>
    <w:rsid w:val="7DDA1D0F"/>
    <w:rsid w:val="7DF872E8"/>
    <w:rsid w:val="7DFB5C24"/>
    <w:rsid w:val="7E0C5D46"/>
    <w:rsid w:val="7E1360BB"/>
    <w:rsid w:val="7E405B9C"/>
    <w:rsid w:val="7E6B6552"/>
    <w:rsid w:val="7E9C71A5"/>
    <w:rsid w:val="7EA73D78"/>
    <w:rsid w:val="7EAE66BA"/>
    <w:rsid w:val="7EB0352E"/>
    <w:rsid w:val="7EBB1E77"/>
    <w:rsid w:val="7EC655F3"/>
    <w:rsid w:val="7EF06499"/>
    <w:rsid w:val="7F1A680D"/>
    <w:rsid w:val="7F223B10"/>
    <w:rsid w:val="7F263DF2"/>
    <w:rsid w:val="7F271D96"/>
    <w:rsid w:val="7F577CBB"/>
    <w:rsid w:val="7F5D6DD7"/>
    <w:rsid w:val="7F6D1868"/>
    <w:rsid w:val="7F751B38"/>
    <w:rsid w:val="7F873E8D"/>
    <w:rsid w:val="7F980205"/>
    <w:rsid w:val="7F9D64BD"/>
    <w:rsid w:val="7FAF4CCD"/>
    <w:rsid w:val="7FEE5F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0.5pt"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Georgia" w:hAnsi="Georgia" w:eastAsia="宋体" w:cs="Calibri"/>
      <w:kern w:val="2"/>
      <w:sz w:val="28"/>
      <w:szCs w:val="22"/>
      <w:lang w:val="en-US" w:eastAsia="zh-CN" w:bidi="ar-SA"/>
    </w:rPr>
  </w:style>
  <w:style w:type="paragraph" w:styleId="2">
    <w:name w:val="heading 1"/>
    <w:basedOn w:val="1"/>
    <w:next w:val="1"/>
    <w:link w:val="103"/>
    <w:qFormat/>
    <w:uiPriority w:val="0"/>
    <w:pPr>
      <w:keepNext/>
      <w:keepLines/>
      <w:tabs>
        <w:tab w:val="left" w:pos="1230"/>
      </w:tabs>
      <w:jc w:val="left"/>
      <w:outlineLvl w:val="0"/>
    </w:pPr>
    <w:rPr>
      <w:rFonts w:eastAsia="黑体"/>
      <w:b/>
      <w:bCs/>
      <w:kern w:val="44"/>
      <w:sz w:val="32"/>
    </w:rPr>
  </w:style>
  <w:style w:type="paragraph" w:styleId="3">
    <w:name w:val="heading 2"/>
    <w:basedOn w:val="1"/>
    <w:next w:val="4"/>
    <w:link w:val="55"/>
    <w:qFormat/>
    <w:uiPriority w:val="0"/>
    <w:pPr>
      <w:keepNext/>
      <w:keepLines/>
      <w:adjustRightInd w:val="0"/>
      <w:snapToGrid w:val="0"/>
      <w:spacing w:before="30" w:beforeLines="30" w:after="30" w:afterLines="30" w:line="360" w:lineRule="auto"/>
      <w:jc w:val="left"/>
      <w:outlineLvl w:val="1"/>
    </w:pPr>
    <w:rPr>
      <w:rFonts w:ascii="Times New Roman" w:hAnsi="Times New Roman" w:cs="Times New Roman"/>
      <w:b/>
      <w:bCs/>
      <w:sz w:val="24"/>
      <w:szCs w:val="24"/>
      <w:lang w:eastAsia="en-US"/>
    </w:rPr>
  </w:style>
  <w:style w:type="paragraph" w:styleId="5">
    <w:name w:val="heading 3"/>
    <w:basedOn w:val="1"/>
    <w:next w:val="4"/>
    <w:link w:val="59"/>
    <w:qFormat/>
    <w:uiPriority w:val="0"/>
    <w:pPr>
      <w:keepNext/>
      <w:keepLines/>
      <w:spacing w:before="120" w:after="120" w:line="460" w:lineRule="exact"/>
      <w:outlineLvl w:val="2"/>
    </w:pPr>
    <w:rPr>
      <w:rFonts w:eastAsia="Calibri" w:cs="Times New Roman"/>
      <w:b/>
      <w:color w:val="000000"/>
      <w:sz w:val="26"/>
      <w:szCs w:val="24"/>
      <w:lang w:eastAsia="en-US"/>
    </w:rPr>
  </w:style>
  <w:style w:type="paragraph" w:styleId="6">
    <w:name w:val="heading 4"/>
    <w:basedOn w:val="1"/>
    <w:next w:val="1"/>
    <w:link w:val="93"/>
    <w:semiHidden/>
    <w:unhideWhenUsed/>
    <w:qFormat/>
    <w:uiPriority w:val="0"/>
    <w:pPr>
      <w:keepNext/>
      <w:keepLines/>
      <w:spacing w:before="280" w:after="290" w:line="376" w:lineRule="auto"/>
      <w:outlineLvl w:val="3"/>
    </w:pPr>
    <w:rPr>
      <w:rFonts w:ascii="Cambria" w:hAnsi="Cambria" w:cs="Times New Roman"/>
      <w:b/>
      <w:bCs/>
      <w:szCs w:val="28"/>
    </w:rPr>
  </w:style>
  <w:style w:type="paragraph" w:styleId="7">
    <w:name w:val="heading 6"/>
    <w:basedOn w:val="1"/>
    <w:next w:val="1"/>
    <w:link w:val="45"/>
    <w:qFormat/>
    <w:uiPriority w:val="0"/>
    <w:pPr>
      <w:keepNext/>
      <w:keepLines/>
      <w:spacing w:before="240" w:after="64" w:line="320" w:lineRule="auto"/>
      <w:outlineLvl w:val="5"/>
    </w:pPr>
    <w:rPr>
      <w:rFonts w:ascii="仿宋_GB2312" w:hAnsi="仿宋_GB2312" w:eastAsia="Calibri Light" w:cs="Times New Roman"/>
      <w:b/>
      <w:bCs/>
      <w:sz w:val="24"/>
      <w:szCs w:val="24"/>
      <w:lang w:eastAsia="en-US"/>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customStyle="1" w:styleId="4">
    <w:name w:val="段落 Char Char"/>
    <w:qFormat/>
    <w:uiPriority w:val="0"/>
    <w:pPr>
      <w:spacing w:line="500" w:lineRule="exact"/>
      <w:ind w:firstLine="600"/>
    </w:pPr>
    <w:rPr>
      <w:rFonts w:ascii="Calibri Light" w:hAnsi="Calibri Light" w:eastAsia="宋体" w:cs="Calibri"/>
      <w:kern w:val="2"/>
      <w:sz w:val="28"/>
      <w:szCs w:val="28"/>
      <w:lang w:val="en-US" w:eastAsia="zh-CN" w:bidi="ar-SA"/>
    </w:rPr>
  </w:style>
  <w:style w:type="paragraph" w:styleId="8">
    <w:name w:val="Note Heading"/>
    <w:basedOn w:val="1"/>
    <w:next w:val="1"/>
    <w:qFormat/>
    <w:uiPriority w:val="0"/>
    <w:pPr>
      <w:jc w:val="center"/>
    </w:pPr>
    <w:rPr>
      <w:sz w:val="21"/>
    </w:rPr>
  </w:style>
  <w:style w:type="paragraph" w:styleId="9">
    <w:name w:val="Normal Indent"/>
    <w:basedOn w:val="1"/>
    <w:link w:val="43"/>
    <w:qFormat/>
    <w:uiPriority w:val="0"/>
    <w:rPr>
      <w:rFonts w:ascii="Arial Narrow" w:hAnsi="Arial Narrow" w:eastAsia="Calibri" w:cs="Times New Roman"/>
      <w:b/>
      <w:szCs w:val="20"/>
      <w:lang w:eastAsia="en-US"/>
    </w:rPr>
  </w:style>
  <w:style w:type="paragraph" w:styleId="10">
    <w:name w:val="caption"/>
    <w:basedOn w:val="1"/>
    <w:next w:val="1"/>
    <w:qFormat/>
    <w:uiPriority w:val="0"/>
    <w:rPr>
      <w:rFonts w:ascii="Arial Narrow" w:hAnsi="Arial Narrow" w:eastAsia="Cambria" w:cs="Arial Narrow"/>
      <w:sz w:val="20"/>
      <w:szCs w:val="20"/>
    </w:rPr>
  </w:style>
  <w:style w:type="paragraph" w:styleId="11">
    <w:name w:val="toa heading"/>
    <w:basedOn w:val="1"/>
    <w:next w:val="1"/>
    <w:qFormat/>
    <w:uiPriority w:val="0"/>
    <w:pPr>
      <w:adjustRightInd w:val="0"/>
      <w:snapToGrid w:val="0"/>
      <w:spacing w:before="120" w:line="312" w:lineRule="auto"/>
    </w:pPr>
    <w:rPr>
      <w:rFonts w:ascii="Arial Narrow" w:hAnsi="Arial Narrow" w:cs="Arial Narrow"/>
      <w:sz w:val="24"/>
    </w:rPr>
  </w:style>
  <w:style w:type="paragraph" w:styleId="12">
    <w:name w:val="annotation text"/>
    <w:basedOn w:val="1"/>
    <w:link w:val="46"/>
    <w:qFormat/>
    <w:uiPriority w:val="0"/>
    <w:pPr>
      <w:jc w:val="left"/>
    </w:pPr>
    <w:rPr>
      <w:rFonts w:eastAsia="Calibri" w:cs="Times New Roman"/>
      <w:b/>
      <w:lang w:eastAsia="en-US"/>
    </w:rPr>
  </w:style>
  <w:style w:type="paragraph" w:styleId="13">
    <w:name w:val="Body Text"/>
    <w:basedOn w:val="1"/>
    <w:link w:val="53"/>
    <w:qFormat/>
    <w:uiPriority w:val="0"/>
    <w:pPr>
      <w:spacing w:line="360" w:lineRule="auto"/>
      <w:jc w:val="left"/>
    </w:pPr>
    <w:rPr>
      <w:rFonts w:eastAsia="Calibri" w:cs="Times New Roman"/>
      <w:b/>
      <w:sz w:val="24"/>
      <w:lang w:eastAsia="en-US"/>
    </w:rPr>
  </w:style>
  <w:style w:type="paragraph" w:styleId="14">
    <w:name w:val="Body Text Indent"/>
    <w:basedOn w:val="1"/>
    <w:next w:val="13"/>
    <w:link w:val="88"/>
    <w:qFormat/>
    <w:uiPriority w:val="0"/>
    <w:pPr>
      <w:spacing w:line="360" w:lineRule="auto"/>
      <w:ind w:firstLine="465"/>
    </w:pPr>
    <w:rPr>
      <w:spacing w:val="6"/>
      <w:sz w:val="24"/>
    </w:rPr>
  </w:style>
  <w:style w:type="paragraph" w:styleId="15">
    <w:name w:val="Block Text"/>
    <w:basedOn w:val="1"/>
    <w:qFormat/>
    <w:uiPriority w:val="0"/>
    <w:pPr>
      <w:spacing w:line="460" w:lineRule="atLeast"/>
      <w:ind w:left="108" w:right="170" w:firstLine="499"/>
    </w:pPr>
    <w:rPr>
      <w:sz w:val="24"/>
    </w:rPr>
  </w:style>
  <w:style w:type="paragraph" w:styleId="16">
    <w:name w:val="Plain Text"/>
    <w:basedOn w:val="1"/>
    <w:link w:val="36"/>
    <w:qFormat/>
    <w:uiPriority w:val="0"/>
    <w:rPr>
      <w:rFonts w:hint="eastAsia" w:ascii="Calibri Light" w:hAnsi="Cambria Math" w:eastAsia="Calibri Light" w:cs="Times New Roman"/>
      <w:b/>
      <w:sz w:val="21"/>
      <w:lang w:eastAsia="en-US"/>
    </w:rPr>
  </w:style>
  <w:style w:type="paragraph" w:styleId="17">
    <w:name w:val="Body Text Indent 2"/>
    <w:basedOn w:val="1"/>
    <w:qFormat/>
    <w:uiPriority w:val="0"/>
    <w:pPr>
      <w:spacing w:line="360" w:lineRule="auto"/>
      <w:ind w:firstLine="457" w:firstLineChars="200"/>
    </w:pPr>
    <w:rPr>
      <w:b/>
      <w:bCs/>
      <w:sz w:val="24"/>
    </w:rPr>
  </w:style>
  <w:style w:type="paragraph" w:styleId="18">
    <w:name w:val="Balloon Text"/>
    <w:basedOn w:val="1"/>
    <w:link w:val="63"/>
    <w:qFormat/>
    <w:uiPriority w:val="0"/>
    <w:rPr>
      <w:rFonts w:cs="Times New Roman"/>
      <w:sz w:val="18"/>
      <w:szCs w:val="18"/>
    </w:rPr>
  </w:style>
  <w:style w:type="paragraph" w:styleId="19">
    <w:name w:val="footer"/>
    <w:basedOn w:val="1"/>
    <w:link w:val="92"/>
    <w:qFormat/>
    <w:uiPriority w:val="99"/>
    <w:pPr>
      <w:tabs>
        <w:tab w:val="center" w:pos="4153"/>
        <w:tab w:val="right" w:pos="8306"/>
      </w:tabs>
      <w:snapToGrid w:val="0"/>
      <w:jc w:val="left"/>
    </w:pPr>
    <w:rPr>
      <w:rFonts w:ascii="Calibri" w:hAnsi="Calibri" w:eastAsia="Calibri Light"/>
      <w:color w:val="000000"/>
      <w:sz w:val="18"/>
      <w:szCs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List"/>
    <w:basedOn w:val="1"/>
    <w:link w:val="95"/>
    <w:qFormat/>
    <w:uiPriority w:val="0"/>
    <w:pPr>
      <w:numPr>
        <w:ilvl w:val="0"/>
        <w:numId w:val="1"/>
      </w:numPr>
      <w:tabs>
        <w:tab w:val="left" w:pos="420"/>
        <w:tab w:val="left" w:pos="1050"/>
        <w:tab w:val="clear" w:pos="1470"/>
      </w:tabs>
      <w:ind w:firstLine="600" w:firstLineChars="200"/>
    </w:pPr>
    <w:rPr>
      <w:rFonts w:ascii="Times New Roman" w:hAnsi="Times New Roman" w:eastAsia="黑体"/>
      <w:sz w:val="21"/>
    </w:rPr>
  </w:style>
  <w:style w:type="paragraph" w:styleId="22">
    <w:name w:val="Body Text Indent 3"/>
    <w:basedOn w:val="1"/>
    <w:qFormat/>
    <w:uiPriority w:val="0"/>
    <w:pPr>
      <w:spacing w:line="360" w:lineRule="auto"/>
      <w:ind w:firstLine="480"/>
      <w:jc w:val="left"/>
    </w:pPr>
    <w:rPr>
      <w:sz w:val="24"/>
    </w:rPr>
  </w:style>
  <w:style w:type="paragraph" w:styleId="23">
    <w:name w:val="Body Text 2"/>
    <w:basedOn w:val="1"/>
    <w:qFormat/>
    <w:uiPriority w:val="0"/>
    <w:pPr>
      <w:spacing w:line="312" w:lineRule="auto"/>
    </w:pPr>
    <w:rPr>
      <w:rFonts w:ascii="宋体"/>
      <w:szCs w:val="20"/>
    </w:rPr>
  </w:style>
  <w:style w:type="paragraph" w:styleId="24">
    <w:name w:val="Normal (Web)"/>
    <w:basedOn w:val="1"/>
    <w:qFormat/>
    <w:uiPriority w:val="0"/>
    <w:pPr>
      <w:widowControl/>
      <w:spacing w:before="100" w:beforeAutospacing="1" w:after="100" w:afterAutospacing="1"/>
      <w:jc w:val="left"/>
    </w:pPr>
    <w:rPr>
      <w:rFonts w:ascii="Calibri Light" w:hAnsi="Calibri Light"/>
      <w:kern w:val="0"/>
      <w:sz w:val="24"/>
      <w:szCs w:val="24"/>
    </w:rPr>
  </w:style>
  <w:style w:type="paragraph" w:styleId="25">
    <w:name w:val="annotation subject"/>
    <w:basedOn w:val="12"/>
    <w:next w:val="12"/>
    <w:link w:val="61"/>
    <w:qFormat/>
    <w:uiPriority w:val="0"/>
    <w:rPr>
      <w:bCs/>
    </w:rPr>
  </w:style>
  <w:style w:type="paragraph" w:styleId="26">
    <w:name w:val="Body Text First Indent"/>
    <w:basedOn w:val="13"/>
    <w:qFormat/>
    <w:uiPriority w:val="0"/>
    <w:pPr>
      <w:snapToGrid w:val="0"/>
      <w:ind w:firstLine="200" w:firstLineChars="200"/>
      <w:jc w:val="both"/>
    </w:pPr>
    <w:rPr>
      <w:szCs w:val="24"/>
      <w:lang w:eastAsia="zh-CN"/>
    </w:rPr>
  </w:style>
  <w:style w:type="paragraph" w:styleId="27">
    <w:name w:val="Body Text First Indent 2"/>
    <w:basedOn w:val="14"/>
    <w:next w:val="1"/>
    <w:link w:val="89"/>
    <w:qFormat/>
    <w:uiPriority w:val="0"/>
    <w:pPr>
      <w:spacing w:line="240" w:lineRule="auto"/>
      <w:ind w:firstLine="420" w:firstLineChars="200"/>
    </w:pPr>
    <w:rPr>
      <w:spacing w:val="0"/>
    </w:r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qFormat/>
    <w:uiPriority w:val="0"/>
    <w:rPr>
      <w:rFonts w:ascii="Calibri" w:hAnsi="Calibri" w:eastAsia="Calibri Light"/>
      <w:color w:val="000000"/>
      <w:sz w:val="24"/>
      <w:szCs w:val="24"/>
    </w:rPr>
  </w:style>
  <w:style w:type="character" w:styleId="32">
    <w:name w:val="Hyperlink"/>
    <w:unhideWhenUsed/>
    <w:qFormat/>
    <w:uiPriority w:val="99"/>
    <w:rPr>
      <w:rFonts w:ascii="Arial Narrow" w:hAnsi="Arial Narrow" w:eastAsia="Calibri" w:cs="楷体_GB2312"/>
      <w:b/>
      <w:color w:val="0000FF"/>
      <w:kern w:val="0"/>
      <w:sz w:val="24"/>
      <w:u w:val="single"/>
      <w:lang w:eastAsia="en-US"/>
    </w:rPr>
  </w:style>
  <w:style w:type="character" w:styleId="33">
    <w:name w:val="annotation reference"/>
    <w:qFormat/>
    <w:uiPriority w:val="0"/>
    <w:rPr>
      <w:rFonts w:ascii="Arial Narrow" w:hAnsi="Arial Narrow" w:eastAsia="Calibri" w:cs="楷体_GB2312"/>
      <w:b/>
      <w:kern w:val="0"/>
      <w:sz w:val="21"/>
      <w:szCs w:val="21"/>
      <w:lang w:eastAsia="en-US"/>
    </w:rPr>
  </w:style>
  <w:style w:type="paragraph" w:customStyle="1" w:styleId="34">
    <w:name w:val="Default"/>
    <w:qFormat/>
    <w:uiPriority w:val="0"/>
    <w:pPr>
      <w:widowControl w:val="0"/>
      <w:autoSpaceDE w:val="0"/>
      <w:autoSpaceDN w:val="0"/>
      <w:adjustRightInd w:val="0"/>
      <w:spacing w:line="460" w:lineRule="exact"/>
      <w:jc w:val="center"/>
    </w:pPr>
    <w:rPr>
      <w:rFonts w:ascii="黑体" w:hAnsi="Calibri" w:eastAsia="黑体" w:cs="黑体"/>
      <w:color w:val="000000"/>
      <w:sz w:val="24"/>
      <w:szCs w:val="24"/>
      <w:lang w:val="en-US" w:eastAsia="zh-CN" w:bidi="ar-SA"/>
    </w:rPr>
  </w:style>
  <w:style w:type="character" w:customStyle="1" w:styleId="35">
    <w:name w:val="正文文本 (2)1"/>
    <w:qFormat/>
    <w:uiPriority w:val="0"/>
    <w:rPr>
      <w:rFonts w:hint="eastAsia" w:ascii="Calibri Light" w:hAnsi="Calibri Light" w:eastAsia="Calibri Light" w:cs="楷体_GB2312"/>
      <w:b/>
      <w:kern w:val="0"/>
      <w:sz w:val="22"/>
      <w:lang w:eastAsia="en-US"/>
    </w:rPr>
  </w:style>
  <w:style w:type="character" w:customStyle="1" w:styleId="36">
    <w:name w:val="纯文本 字符"/>
    <w:link w:val="16"/>
    <w:qFormat/>
    <w:uiPriority w:val="0"/>
    <w:rPr>
      <w:rFonts w:hint="eastAsia" w:ascii="Calibri Light" w:hAnsi="Cambria Math" w:eastAsia="Calibri Light" w:cs="Calibri Light"/>
      <w:b/>
      <w:kern w:val="2"/>
      <w:sz w:val="21"/>
      <w:szCs w:val="22"/>
      <w:lang w:eastAsia="en-US"/>
    </w:rPr>
  </w:style>
  <w:style w:type="character" w:customStyle="1" w:styleId="37">
    <w:name w:val="font21"/>
    <w:qFormat/>
    <w:uiPriority w:val="0"/>
    <w:rPr>
      <w:rFonts w:hint="default" w:ascii="Georgia" w:hAnsi="Georgia" w:eastAsia="Calibri" w:cs="楷体_GB2312"/>
      <w:color w:val="000000"/>
      <w:kern w:val="0"/>
      <w:sz w:val="20"/>
      <w:szCs w:val="20"/>
      <w:u w:val="none"/>
      <w:lang w:eastAsia="en-US"/>
    </w:rPr>
  </w:style>
  <w:style w:type="character" w:customStyle="1" w:styleId="38">
    <w:name w:val="font11"/>
    <w:qFormat/>
    <w:uiPriority w:val="0"/>
    <w:rPr>
      <w:rFonts w:hint="default" w:ascii="Calibri" w:hAnsi="Calibri" w:eastAsia="Calibri" w:cs="Calibri"/>
      <w:b/>
      <w:bCs/>
      <w:color w:val="000000"/>
      <w:kern w:val="0"/>
      <w:sz w:val="21"/>
      <w:szCs w:val="21"/>
      <w:u w:val="none"/>
      <w:vertAlign w:val="superscript"/>
      <w:lang w:eastAsia="en-US"/>
    </w:rPr>
  </w:style>
  <w:style w:type="character" w:customStyle="1" w:styleId="39">
    <w:name w:val="font01"/>
    <w:qFormat/>
    <w:uiPriority w:val="0"/>
    <w:rPr>
      <w:rFonts w:hint="default" w:ascii="Calibri" w:hAnsi="Calibri" w:eastAsia="Calibri" w:cs="Calibri"/>
      <w:color w:val="000000"/>
      <w:kern w:val="0"/>
      <w:sz w:val="21"/>
      <w:szCs w:val="21"/>
      <w:u w:val="none"/>
      <w:vertAlign w:val="subscript"/>
      <w:lang w:eastAsia="en-US"/>
    </w:rPr>
  </w:style>
  <w:style w:type="character" w:customStyle="1" w:styleId="40">
    <w:name w:val="font31"/>
    <w:qFormat/>
    <w:uiPriority w:val="0"/>
    <w:rPr>
      <w:rFonts w:hint="default" w:ascii="Georgia" w:hAnsi="Georgia" w:eastAsia="Calibri" w:cs="楷体_GB2312"/>
      <w:b/>
      <w:bCs/>
      <w:color w:val="000000"/>
      <w:kern w:val="0"/>
      <w:sz w:val="21"/>
      <w:szCs w:val="21"/>
      <w:u w:val="none"/>
      <w:lang w:eastAsia="en-US"/>
    </w:rPr>
  </w:style>
  <w:style w:type="character" w:customStyle="1" w:styleId="41">
    <w:name w:val="正文文本 (2)_"/>
    <w:link w:val="42"/>
    <w:qFormat/>
    <w:uiPriority w:val="0"/>
    <w:rPr>
      <w:rFonts w:hint="eastAsia" w:ascii="Calibri Light" w:hAnsi="Calibri Light" w:eastAsia="Calibri Light" w:cs="楷体_GB2312"/>
      <w:b/>
      <w:kern w:val="0"/>
      <w:sz w:val="22"/>
      <w:lang w:eastAsia="en-US"/>
    </w:rPr>
  </w:style>
  <w:style w:type="paragraph" w:customStyle="1" w:styleId="42">
    <w:name w:val="正文文本 (2)"/>
    <w:basedOn w:val="1"/>
    <w:link w:val="41"/>
    <w:qFormat/>
    <w:uiPriority w:val="0"/>
    <w:pPr>
      <w:shd w:val="clear" w:color="auto" w:fill="FFFFFF"/>
      <w:spacing w:line="466" w:lineRule="exact"/>
      <w:ind w:hanging="540"/>
      <w:jc w:val="distribute"/>
    </w:pPr>
    <w:rPr>
      <w:rFonts w:hint="eastAsia" w:ascii="Calibri Light" w:hAnsi="Calibri Light" w:eastAsia="Calibri Light" w:cs="Times New Roman"/>
      <w:b/>
      <w:kern w:val="0"/>
      <w:sz w:val="22"/>
      <w:szCs w:val="20"/>
      <w:lang w:eastAsia="en-US"/>
    </w:rPr>
  </w:style>
  <w:style w:type="character" w:customStyle="1" w:styleId="43">
    <w:name w:val="正文缩进 字符"/>
    <w:link w:val="9"/>
    <w:qFormat/>
    <w:uiPriority w:val="0"/>
    <w:rPr>
      <w:rFonts w:ascii="Arial Narrow" w:hAnsi="Arial Narrow" w:eastAsia="Calibri" w:cs="楷体_GB2312"/>
      <w:b/>
      <w:kern w:val="2"/>
      <w:sz w:val="28"/>
      <w:lang w:eastAsia="en-US"/>
    </w:rPr>
  </w:style>
  <w:style w:type="character" w:customStyle="1" w:styleId="44">
    <w:name w:val="正文文本 (2) + Georgia Exact"/>
    <w:qFormat/>
    <w:uiPriority w:val="0"/>
    <w:rPr>
      <w:rFonts w:hint="default" w:ascii="Wingdings" w:hAnsi="Wingdings" w:eastAsia="Wingdings" w:cs="楷体_GB2312"/>
      <w:b/>
      <w:kern w:val="0"/>
      <w:sz w:val="22"/>
      <w:lang w:val="en-US" w:eastAsia="en-US"/>
    </w:rPr>
  </w:style>
  <w:style w:type="character" w:customStyle="1" w:styleId="45">
    <w:name w:val="标题 6 字符"/>
    <w:link w:val="7"/>
    <w:semiHidden/>
    <w:qFormat/>
    <w:uiPriority w:val="0"/>
    <w:rPr>
      <w:rFonts w:ascii="仿宋_GB2312" w:hAnsi="仿宋_GB2312" w:eastAsia="Calibri Light" w:cs="Calibri"/>
      <w:b/>
      <w:bCs/>
      <w:kern w:val="2"/>
      <w:sz w:val="24"/>
      <w:szCs w:val="24"/>
      <w:lang w:eastAsia="en-US"/>
    </w:rPr>
  </w:style>
  <w:style w:type="character" w:customStyle="1" w:styleId="46">
    <w:name w:val="批注文字 字符"/>
    <w:link w:val="12"/>
    <w:qFormat/>
    <w:uiPriority w:val="0"/>
    <w:rPr>
      <w:rFonts w:ascii="Georgia" w:hAnsi="Georgia" w:eastAsia="Calibri" w:cs="楷体_GB2312"/>
      <w:b/>
      <w:kern w:val="2"/>
      <w:sz w:val="28"/>
      <w:szCs w:val="22"/>
      <w:lang w:eastAsia="en-US"/>
    </w:rPr>
  </w:style>
  <w:style w:type="character" w:customStyle="1" w:styleId="47">
    <w:name w:val="font71"/>
    <w:qFormat/>
    <w:uiPriority w:val="0"/>
    <w:rPr>
      <w:rFonts w:hint="eastAsia" w:ascii="Calibri Light" w:hAnsi="Calibri Light" w:eastAsia="Calibri Light" w:cs="楷体_GB2312"/>
      <w:b/>
      <w:bCs/>
      <w:color w:val="000000"/>
      <w:kern w:val="0"/>
      <w:sz w:val="21"/>
      <w:szCs w:val="21"/>
      <w:u w:val="none"/>
      <w:lang w:eastAsia="en-US"/>
    </w:rPr>
  </w:style>
  <w:style w:type="character" w:customStyle="1" w:styleId="48">
    <w:name w:val="正文文本 (2) + 10 pt"/>
    <w:qFormat/>
    <w:uiPriority w:val="0"/>
    <w:rPr>
      <w:rFonts w:hint="eastAsia" w:ascii="Calibri Light" w:hAnsi="Calibri Light" w:eastAsia="Calibri Light" w:cs="楷体_GB2312"/>
      <w:kern w:val="0"/>
      <w:sz w:val="20"/>
      <w:lang w:eastAsia="en-US"/>
    </w:rPr>
  </w:style>
  <w:style w:type="character" w:customStyle="1" w:styleId="49">
    <w:name w:val="标题1"/>
    <w:basedOn w:val="30"/>
    <w:qFormat/>
    <w:uiPriority w:val="0"/>
  </w:style>
  <w:style w:type="character" w:customStyle="1" w:styleId="50">
    <w:name w:val="正文文本 (2) + Georgia"/>
    <w:qFormat/>
    <w:uiPriority w:val="0"/>
    <w:rPr>
      <w:rFonts w:hint="default" w:ascii="Wingdings" w:hAnsi="Wingdings" w:eastAsia="Wingdings" w:cs="楷体_GB2312"/>
      <w:b/>
      <w:kern w:val="0"/>
      <w:sz w:val="22"/>
      <w:lang w:val="en-US" w:eastAsia="en-US"/>
    </w:rPr>
  </w:style>
  <w:style w:type="character" w:customStyle="1" w:styleId="51">
    <w:name w:val="正文文本 (2) + Times New Roman"/>
    <w:unhideWhenUsed/>
    <w:qFormat/>
    <w:uiPriority w:val="99"/>
    <w:rPr>
      <w:rFonts w:hint="eastAsia" w:ascii="Calibri" w:hAnsi="Calibri" w:eastAsia="Calibri" w:cs="楷体_GB2312"/>
      <w:b/>
      <w:kern w:val="0"/>
      <w:sz w:val="12"/>
      <w:lang w:val="en-US" w:eastAsia="en-US"/>
    </w:rPr>
  </w:style>
  <w:style w:type="character" w:customStyle="1" w:styleId="52">
    <w:name w:val="font51"/>
    <w:qFormat/>
    <w:uiPriority w:val="0"/>
    <w:rPr>
      <w:rFonts w:hint="default" w:ascii="Georgia" w:hAnsi="Georgia" w:eastAsia="Calibri" w:cs="楷体_GB2312"/>
      <w:color w:val="000000"/>
      <w:kern w:val="0"/>
      <w:sz w:val="21"/>
      <w:szCs w:val="21"/>
      <w:u w:val="none"/>
      <w:lang w:eastAsia="en-US"/>
    </w:rPr>
  </w:style>
  <w:style w:type="character" w:customStyle="1" w:styleId="53">
    <w:name w:val="正文文本 字符"/>
    <w:link w:val="13"/>
    <w:qFormat/>
    <w:uiPriority w:val="0"/>
    <w:rPr>
      <w:rFonts w:hint="default" w:ascii="Georgia" w:hAnsi="Georgia" w:eastAsia="Calibri" w:cs="Georgia"/>
      <w:b/>
      <w:kern w:val="2"/>
      <w:sz w:val="24"/>
      <w:szCs w:val="22"/>
      <w:lang w:eastAsia="en-US"/>
    </w:rPr>
  </w:style>
  <w:style w:type="character" w:customStyle="1" w:styleId="54">
    <w:name w:val="font61"/>
    <w:qFormat/>
    <w:uiPriority w:val="0"/>
    <w:rPr>
      <w:rFonts w:hint="eastAsia" w:ascii="Calibri Light" w:hAnsi="Calibri Light" w:eastAsia="Calibri Light" w:cs="楷体_GB2312"/>
      <w:color w:val="000000"/>
      <w:kern w:val="0"/>
      <w:sz w:val="20"/>
      <w:szCs w:val="20"/>
      <w:u w:val="none"/>
      <w:lang w:eastAsia="en-US"/>
    </w:rPr>
  </w:style>
  <w:style w:type="character" w:customStyle="1" w:styleId="55">
    <w:name w:val="标题 2 字符"/>
    <w:link w:val="3"/>
    <w:qFormat/>
    <w:uiPriority w:val="0"/>
    <w:rPr>
      <w:rFonts w:ascii="Times New Roman" w:hAnsi="Times New Roman" w:eastAsia="宋体" w:cs="Calibri"/>
      <w:b/>
      <w:bCs/>
      <w:kern w:val="2"/>
      <w:sz w:val="24"/>
      <w:szCs w:val="24"/>
      <w:lang w:eastAsia="en-US"/>
    </w:rPr>
  </w:style>
  <w:style w:type="character" w:customStyle="1" w:styleId="56">
    <w:name w:val="font81"/>
    <w:qFormat/>
    <w:uiPriority w:val="0"/>
    <w:rPr>
      <w:rFonts w:hint="eastAsia" w:ascii="Calibri Light" w:hAnsi="Calibri Light" w:eastAsia="Calibri Light" w:cs="楷体_GB2312"/>
      <w:color w:val="000000"/>
      <w:kern w:val="0"/>
      <w:sz w:val="21"/>
      <w:szCs w:val="21"/>
      <w:u w:val="none"/>
      <w:lang w:eastAsia="en-US"/>
    </w:rPr>
  </w:style>
  <w:style w:type="character" w:customStyle="1" w:styleId="57">
    <w:name w:val="a Char"/>
    <w:link w:val="58"/>
    <w:qFormat/>
    <w:uiPriority w:val="0"/>
    <w:rPr>
      <w:rFonts w:ascii="Calibri Light" w:hAnsi="Calibri Light" w:eastAsia="Calibri" w:cs="Cambria Math"/>
      <w:b/>
      <w:bCs/>
      <w:kern w:val="0"/>
      <w:sz w:val="28"/>
      <w:szCs w:val="21"/>
      <w:lang w:eastAsia="en-US"/>
    </w:rPr>
  </w:style>
  <w:style w:type="paragraph" w:customStyle="1" w:styleId="58">
    <w:name w:val="a"/>
    <w:basedOn w:val="1"/>
    <w:link w:val="57"/>
    <w:qFormat/>
    <w:uiPriority w:val="0"/>
    <w:pPr>
      <w:spacing w:line="540" w:lineRule="exact"/>
      <w:ind w:firstLine="200" w:firstLineChars="200"/>
    </w:pPr>
    <w:rPr>
      <w:rFonts w:ascii="Calibri Light" w:hAnsi="Calibri Light" w:eastAsia="Calibri" w:cs="Times New Roman"/>
      <w:b/>
      <w:bCs/>
      <w:kern w:val="0"/>
      <w:szCs w:val="21"/>
      <w:lang w:eastAsia="en-US"/>
    </w:rPr>
  </w:style>
  <w:style w:type="character" w:customStyle="1" w:styleId="59">
    <w:name w:val="标题 3 字符"/>
    <w:link w:val="5"/>
    <w:qFormat/>
    <w:uiPriority w:val="0"/>
    <w:rPr>
      <w:rFonts w:hint="default" w:ascii="Georgia" w:hAnsi="Georgia" w:eastAsia="Calibri" w:cs="Georgia"/>
      <w:b/>
      <w:color w:val="000000"/>
      <w:kern w:val="2"/>
      <w:sz w:val="26"/>
      <w:szCs w:val="24"/>
      <w:lang w:eastAsia="en-US"/>
    </w:rPr>
  </w:style>
  <w:style w:type="character" w:customStyle="1" w:styleId="60">
    <w:name w:val="正文文本 (2) Exact"/>
    <w:qFormat/>
    <w:uiPriority w:val="0"/>
    <w:rPr>
      <w:rFonts w:hint="eastAsia" w:ascii="Calibri Light" w:hAnsi="Calibri Light" w:eastAsia="Calibri Light" w:cs="楷体_GB2312"/>
      <w:b/>
      <w:kern w:val="0"/>
      <w:sz w:val="22"/>
      <w:lang w:eastAsia="en-US"/>
    </w:rPr>
  </w:style>
  <w:style w:type="character" w:customStyle="1" w:styleId="61">
    <w:name w:val="批注主题 字符"/>
    <w:link w:val="25"/>
    <w:qFormat/>
    <w:uiPriority w:val="0"/>
    <w:rPr>
      <w:rFonts w:ascii="Georgia" w:hAnsi="Georgia" w:eastAsia="Calibri" w:cs="楷体_GB2312"/>
      <w:b/>
      <w:bCs/>
      <w:kern w:val="2"/>
      <w:sz w:val="28"/>
      <w:szCs w:val="22"/>
      <w:lang w:eastAsia="en-US"/>
    </w:rPr>
  </w:style>
  <w:style w:type="character" w:customStyle="1" w:styleId="62">
    <w:name w:val="font41"/>
    <w:qFormat/>
    <w:uiPriority w:val="0"/>
    <w:rPr>
      <w:rFonts w:hint="eastAsia" w:ascii="Calibri Light" w:hAnsi="Calibri Light" w:eastAsia="Calibri Light" w:cs="楷体_GB2312"/>
      <w:b/>
      <w:bCs/>
      <w:color w:val="000000"/>
      <w:kern w:val="0"/>
      <w:sz w:val="21"/>
      <w:szCs w:val="21"/>
      <w:u w:val="none"/>
      <w:lang w:eastAsia="en-US"/>
    </w:rPr>
  </w:style>
  <w:style w:type="character" w:customStyle="1" w:styleId="63">
    <w:name w:val="批注框文本 字符"/>
    <w:link w:val="18"/>
    <w:qFormat/>
    <w:uiPriority w:val="0"/>
    <w:rPr>
      <w:rFonts w:ascii="Georgia" w:hAnsi="Georgia"/>
      <w:kern w:val="2"/>
      <w:sz w:val="18"/>
      <w:szCs w:val="18"/>
    </w:rPr>
  </w:style>
  <w:style w:type="paragraph" w:customStyle="1" w:styleId="64">
    <w:name w:val="谢正文"/>
    <w:basedOn w:val="1"/>
    <w:qFormat/>
    <w:uiPriority w:val="0"/>
    <w:pPr>
      <w:tabs>
        <w:tab w:val="left" w:pos="544"/>
      </w:tabs>
      <w:adjustRightInd w:val="0"/>
      <w:spacing w:line="420" w:lineRule="exact"/>
      <w:ind w:firstLine="200" w:firstLineChars="200"/>
      <w:textAlignment w:val="center"/>
    </w:pPr>
    <w:rPr>
      <w:spacing w:val="8"/>
      <w:kern w:val="0"/>
    </w:rPr>
  </w:style>
  <w:style w:type="paragraph" w:customStyle="1" w:styleId="65">
    <w:name w:val="_Style 3"/>
    <w:qFormat/>
    <w:uiPriority w:val="1"/>
    <w:pPr>
      <w:widowControl w:val="0"/>
      <w:jc w:val="both"/>
    </w:pPr>
    <w:rPr>
      <w:rFonts w:ascii="Calibri" w:hAnsi="Calibri" w:eastAsia="宋体" w:cs="Calibri"/>
      <w:kern w:val="2"/>
      <w:sz w:val="21"/>
      <w:szCs w:val="24"/>
      <w:lang w:val="en-US" w:eastAsia="zh-CN" w:bidi="ar-SA"/>
    </w:rPr>
  </w:style>
  <w:style w:type="paragraph" w:customStyle="1" w:styleId="66">
    <w:name w:val="Char Char Char Char"/>
    <w:basedOn w:val="1"/>
    <w:qFormat/>
    <w:uiPriority w:val="0"/>
    <w:pPr>
      <w:snapToGrid w:val="0"/>
      <w:spacing w:line="360" w:lineRule="auto"/>
      <w:ind w:firstLine="200" w:firstLineChars="200"/>
    </w:pPr>
    <w:rPr>
      <w:rFonts w:eastAsia="Symbol Tiger Expert"/>
      <w:sz w:val="24"/>
      <w:szCs w:val="24"/>
    </w:rPr>
  </w:style>
  <w:style w:type="paragraph" w:customStyle="1" w:styleId="67">
    <w:name w:val="_Style 0"/>
    <w:qFormat/>
    <w:uiPriority w:val="1"/>
    <w:pPr>
      <w:widowControl w:val="0"/>
      <w:jc w:val="both"/>
    </w:pPr>
    <w:rPr>
      <w:rFonts w:ascii="Calibri" w:hAnsi="Calibri" w:eastAsia="宋体" w:cs="Calibri"/>
      <w:kern w:val="2"/>
      <w:sz w:val="21"/>
      <w:szCs w:val="24"/>
      <w:lang w:val="en-US" w:eastAsia="zh-CN" w:bidi="ar-SA"/>
    </w:rPr>
  </w:style>
  <w:style w:type="paragraph" w:customStyle="1" w:styleId="68">
    <w:name w:val="Char Char Char Char Char Char1 Char"/>
    <w:basedOn w:val="1"/>
    <w:qFormat/>
    <w:uiPriority w:val="0"/>
    <w:pPr>
      <w:widowControl/>
      <w:spacing w:after="160" w:line="240" w:lineRule="exact"/>
      <w:jc w:val="left"/>
    </w:pPr>
    <w:rPr>
      <w:rFonts w:ascii="Arial Narrow" w:hAnsi="Arial Narrow" w:eastAsia="Calibri" w:cs="楷体_GB2312"/>
      <w:b/>
      <w:kern w:val="0"/>
      <w:sz w:val="24"/>
      <w:lang w:eastAsia="en-US"/>
    </w:rPr>
  </w:style>
  <w:style w:type="paragraph" w:customStyle="1" w:styleId="69">
    <w:name w:val="表格"/>
    <w:basedOn w:val="1"/>
    <w:qFormat/>
    <w:uiPriority w:val="0"/>
    <w:pPr>
      <w:jc w:val="center"/>
    </w:pPr>
    <w:rPr>
      <w:sz w:val="24"/>
    </w:rPr>
  </w:style>
  <w:style w:type="paragraph" w:customStyle="1" w:styleId="70">
    <w:name w:val="表格文字"/>
    <w:basedOn w:val="1"/>
    <w:qFormat/>
    <w:uiPriority w:val="0"/>
    <w:pPr>
      <w:autoSpaceDE w:val="0"/>
      <w:autoSpaceDN w:val="0"/>
      <w:adjustRightInd w:val="0"/>
      <w:snapToGrid w:val="0"/>
      <w:spacing w:line="280" w:lineRule="exact"/>
    </w:pPr>
    <w:rPr>
      <w:rFonts w:ascii="黑体" w:hAnsi="黑体" w:eastAsia="Calibri Light" w:cs="Times New Roman"/>
      <w:kern w:val="0"/>
      <w:szCs w:val="20"/>
    </w:rPr>
  </w:style>
  <w:style w:type="paragraph" w:customStyle="1" w:styleId="71">
    <w:name w:val="+正文"/>
    <w:basedOn w:val="1"/>
    <w:qFormat/>
    <w:uiPriority w:val="0"/>
    <w:pPr>
      <w:spacing w:line="360" w:lineRule="auto"/>
      <w:ind w:firstLine="200" w:firstLineChars="200"/>
    </w:pPr>
    <w:rPr>
      <w:kern w:val="0"/>
      <w:sz w:val="24"/>
      <w:szCs w:val="28"/>
    </w:rPr>
  </w:style>
  <w:style w:type="paragraph" w:customStyle="1" w:styleId="72">
    <w:name w:val="_Style 2"/>
    <w:basedOn w:val="1"/>
    <w:qFormat/>
    <w:uiPriority w:val="0"/>
    <w:pPr>
      <w:ind w:firstLine="420" w:firstLineChars="200"/>
    </w:pPr>
  </w:style>
  <w:style w:type="paragraph" w:styleId="73">
    <w:name w:val="No Spacing"/>
    <w:basedOn w:val="1"/>
    <w:qFormat/>
    <w:uiPriority w:val="99"/>
    <w:rPr>
      <w:rFonts w:ascii="Calibri Light" w:hAnsi="Calibri Light" w:cs="Calibri Light"/>
      <w:sz w:val="21"/>
      <w:szCs w:val="21"/>
    </w:rPr>
  </w:style>
  <w:style w:type="paragraph" w:customStyle="1" w:styleId="74">
    <w:name w:val="22"/>
    <w:basedOn w:val="19"/>
    <w:qFormat/>
    <w:uiPriority w:val="0"/>
    <w:rPr>
      <w:sz w:val="21"/>
    </w:rPr>
  </w:style>
  <w:style w:type="paragraph" w:customStyle="1" w:styleId="75">
    <w:name w:val="正文缩进1"/>
    <w:basedOn w:val="1"/>
    <w:qFormat/>
    <w:uiPriority w:val="0"/>
    <w:rPr>
      <w:rFonts w:ascii="Calibri" w:eastAsia="Calibri Light"/>
    </w:rPr>
  </w:style>
  <w:style w:type="paragraph" w:customStyle="1" w:styleId="76">
    <w:name w:val="中文报告书样式"/>
    <w:basedOn w:val="1"/>
    <w:qFormat/>
    <w:uiPriority w:val="0"/>
    <w:pPr>
      <w:spacing w:line="480" w:lineRule="atLeast"/>
      <w:ind w:firstLine="482"/>
      <w:textAlignment w:val="baseline"/>
    </w:pPr>
    <w:rPr>
      <w:kern w:val="24"/>
      <w:sz w:val="24"/>
    </w:rPr>
  </w:style>
  <w:style w:type="paragraph" w:customStyle="1" w:styleId="77">
    <w:name w:val="样式4"/>
    <w:basedOn w:val="1"/>
    <w:qFormat/>
    <w:uiPriority w:val="0"/>
    <w:pPr>
      <w:spacing w:beforeLines="50" w:afterLines="50" w:line="480" w:lineRule="exact"/>
    </w:pPr>
    <w:rPr>
      <w:rFonts w:eastAsia="Cambria"/>
      <w:bCs/>
      <w:szCs w:val="20"/>
    </w:rPr>
  </w:style>
  <w:style w:type="paragraph" w:customStyle="1" w:styleId="78">
    <w:name w:val="简单回函地址"/>
    <w:basedOn w:val="1"/>
    <w:qFormat/>
    <w:uiPriority w:val="0"/>
    <w:rPr>
      <w:rFonts w:ascii="Calibri" w:hAnsi="Calibri"/>
      <w:sz w:val="24"/>
      <w:szCs w:val="20"/>
    </w:rPr>
  </w:style>
  <w:style w:type="paragraph" w:customStyle="1" w:styleId="79">
    <w:name w:val="段落"/>
    <w:basedOn w:val="16"/>
    <w:qFormat/>
    <w:uiPriority w:val="0"/>
    <w:pPr>
      <w:spacing w:line="500" w:lineRule="exact"/>
      <w:ind w:firstLine="578"/>
    </w:pPr>
    <w:rPr>
      <w:rFonts w:ascii="Calibri" w:hAnsi="Calibri"/>
      <w:szCs w:val="28"/>
    </w:rPr>
  </w:style>
  <w:style w:type="paragraph" w:customStyle="1" w:styleId="80">
    <w:name w:val="正文缩进11"/>
    <w:basedOn w:val="1"/>
    <w:qFormat/>
    <w:uiPriority w:val="0"/>
  </w:style>
  <w:style w:type="paragraph" w:customStyle="1" w:styleId="81">
    <w:name w:val="p0"/>
    <w:qFormat/>
    <w:uiPriority w:val="0"/>
    <w:pPr>
      <w:jc w:val="center"/>
    </w:pPr>
    <w:rPr>
      <w:rFonts w:ascii="Calibri" w:hAnsi="Calibri" w:eastAsia="宋体" w:cs="Calibri"/>
      <w:sz w:val="21"/>
      <w:szCs w:val="21"/>
      <w:lang w:val="en-US" w:eastAsia="zh-CN" w:bidi="ar-SA"/>
    </w:rPr>
  </w:style>
  <w:style w:type="paragraph" w:customStyle="1" w:styleId="82">
    <w:name w:val="Char Char Char Char1"/>
    <w:basedOn w:val="1"/>
    <w:qFormat/>
    <w:uiPriority w:val="0"/>
    <w:pPr>
      <w:snapToGrid w:val="0"/>
      <w:spacing w:line="360" w:lineRule="auto"/>
      <w:ind w:firstLine="200" w:firstLineChars="200"/>
    </w:pPr>
    <w:rPr>
      <w:rFonts w:eastAsia="Symbol Tiger Expert"/>
      <w:sz w:val="24"/>
      <w:szCs w:val="24"/>
    </w:rPr>
  </w:style>
  <w:style w:type="paragraph" w:customStyle="1" w:styleId="83">
    <w:name w:val="表题"/>
    <w:basedOn w:val="21"/>
    <w:qFormat/>
    <w:uiPriority w:val="0"/>
    <w:pPr>
      <w:spacing w:beforeLines="50" w:line="480" w:lineRule="exact"/>
      <w:ind w:firstLine="0" w:firstLineChars="0"/>
      <w:jc w:val="center"/>
    </w:pPr>
    <w:rPr>
      <w:rFonts w:eastAsia="Cambria"/>
    </w:rPr>
  </w:style>
  <w:style w:type="paragraph" w:customStyle="1" w:styleId="84">
    <w:name w:val="正文1"/>
    <w:qFormat/>
    <w:uiPriority w:val="0"/>
    <w:pPr>
      <w:jc w:val="both"/>
    </w:pPr>
    <w:rPr>
      <w:rFonts w:ascii="Calibri Light" w:hAnsi="Calibri Light" w:eastAsia="宋体" w:cs="Calibri Light"/>
      <w:kern w:val="2"/>
      <w:sz w:val="21"/>
      <w:szCs w:val="21"/>
      <w:lang w:val="en-US" w:eastAsia="zh-CN" w:bidi="ar-SA"/>
    </w:rPr>
  </w:style>
  <w:style w:type="paragraph" w:customStyle="1" w:styleId="85">
    <w:name w:val="样式3"/>
    <w:basedOn w:val="1"/>
    <w:qFormat/>
    <w:uiPriority w:val="0"/>
    <w:pPr>
      <w:spacing w:before="100" w:beforeAutospacing="1" w:line="252" w:lineRule="auto"/>
      <w:ind w:firstLine="602" w:firstLineChars="200"/>
    </w:pPr>
    <w:rPr>
      <w:rFonts w:ascii="宋体" w:hAnsi="宋体" w:cs="Times New Roman"/>
      <w:szCs w:val="30"/>
    </w:rPr>
  </w:style>
  <w:style w:type="character" w:customStyle="1" w:styleId="86">
    <w:name w:val="mod-title ml-5"/>
    <w:basedOn w:val="30"/>
    <w:qFormat/>
    <w:uiPriority w:val="0"/>
  </w:style>
  <w:style w:type="paragraph" w:customStyle="1" w:styleId="87">
    <w:name w:val="纯文本1"/>
    <w:basedOn w:val="1"/>
    <w:qFormat/>
    <w:uiPriority w:val="0"/>
    <w:pPr>
      <w:adjustRightInd w:val="0"/>
      <w:textAlignment w:val="baseline"/>
    </w:pPr>
    <w:rPr>
      <w:rFonts w:ascii="宋体" w:hAnsi="Courier New" w:cs="Times New Roman"/>
      <w:sz w:val="21"/>
      <w:szCs w:val="20"/>
    </w:rPr>
  </w:style>
  <w:style w:type="character" w:customStyle="1" w:styleId="88">
    <w:name w:val="正文文本缩进 字符"/>
    <w:basedOn w:val="30"/>
    <w:link w:val="14"/>
    <w:qFormat/>
    <w:uiPriority w:val="0"/>
    <w:rPr>
      <w:rFonts w:ascii="Georgia" w:hAnsi="Georgia"/>
      <w:spacing w:val="6"/>
      <w:kern w:val="2"/>
      <w:szCs w:val="22"/>
    </w:rPr>
  </w:style>
  <w:style w:type="character" w:customStyle="1" w:styleId="89">
    <w:name w:val="正文文本首行缩进 2 字符"/>
    <w:basedOn w:val="88"/>
    <w:link w:val="27"/>
    <w:qFormat/>
    <w:uiPriority w:val="0"/>
    <w:rPr>
      <w:rFonts w:ascii="Georgia" w:hAnsi="Georgia" w:eastAsia="宋体"/>
      <w:spacing w:val="6"/>
      <w:kern w:val="2"/>
      <w:sz w:val="24"/>
      <w:szCs w:val="22"/>
    </w:rPr>
  </w:style>
  <w:style w:type="paragraph" w:customStyle="1" w:styleId="90">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
    <w:name w:val="正文A"/>
    <w:basedOn w:val="1"/>
    <w:qFormat/>
    <w:uiPriority w:val="0"/>
    <w:pPr>
      <w:adjustRightInd w:val="0"/>
      <w:snapToGrid w:val="0"/>
      <w:spacing w:beforeLines="50" w:afterLines="50" w:line="360" w:lineRule="auto"/>
      <w:ind w:firstLine="560" w:firstLineChars="200"/>
    </w:pPr>
    <w:rPr>
      <w:rFonts w:ascii="Times New Roman" w:hAnsi="Times New Roman" w:cs="宋体"/>
      <w:szCs w:val="20"/>
    </w:rPr>
  </w:style>
  <w:style w:type="character" w:customStyle="1" w:styleId="92">
    <w:name w:val="页脚 字符"/>
    <w:basedOn w:val="30"/>
    <w:link w:val="19"/>
    <w:qFormat/>
    <w:uiPriority w:val="99"/>
    <w:rPr>
      <w:rFonts w:eastAsia="Calibri Light"/>
      <w:color w:val="000000"/>
      <w:kern w:val="2"/>
      <w:sz w:val="18"/>
      <w:szCs w:val="18"/>
    </w:rPr>
  </w:style>
  <w:style w:type="character" w:customStyle="1" w:styleId="93">
    <w:name w:val="标题 4 字符"/>
    <w:basedOn w:val="30"/>
    <w:link w:val="6"/>
    <w:semiHidden/>
    <w:qFormat/>
    <w:uiPriority w:val="0"/>
    <w:rPr>
      <w:rFonts w:ascii="Cambria" w:hAnsi="Cambria" w:eastAsia="宋体" w:cs="Times New Roman"/>
      <w:bCs/>
      <w:kern w:val="2"/>
      <w:sz w:val="28"/>
      <w:szCs w:val="28"/>
    </w:rPr>
  </w:style>
  <w:style w:type="character" w:customStyle="1" w:styleId="94">
    <w:name w:val="description6"/>
    <w:basedOn w:val="30"/>
    <w:qFormat/>
    <w:uiPriority w:val="0"/>
  </w:style>
  <w:style w:type="character" w:customStyle="1" w:styleId="95">
    <w:name w:val="列表 字符"/>
    <w:link w:val="21"/>
    <w:qFormat/>
    <w:uiPriority w:val="0"/>
    <w:rPr>
      <w:rFonts w:ascii="Times New Roman" w:hAnsi="Times New Roman" w:eastAsia="黑体"/>
      <w:sz w:val="21"/>
    </w:rPr>
  </w:style>
  <w:style w:type="paragraph" w:customStyle="1" w:styleId="96">
    <w:name w:val="鸿达表加粗"/>
    <w:basedOn w:val="1"/>
    <w:qFormat/>
    <w:uiPriority w:val="0"/>
    <w:pPr>
      <w:jc w:val="center"/>
    </w:pPr>
    <w:rPr>
      <w:rFonts w:cs="宋体"/>
      <w:b/>
      <w:color w:val="000000"/>
      <w:sz w:val="21"/>
    </w:rPr>
  </w:style>
  <w:style w:type="paragraph" w:customStyle="1" w:styleId="97">
    <w:name w:val="鸿达表格文字"/>
    <w:basedOn w:val="1"/>
    <w:qFormat/>
    <w:uiPriority w:val="0"/>
    <w:pPr>
      <w:contextualSpacing/>
      <w:jc w:val="center"/>
    </w:pPr>
    <w:rPr>
      <w:sz w:val="21"/>
      <w:szCs w:val="21"/>
    </w:rPr>
  </w:style>
  <w:style w:type="paragraph" w:customStyle="1" w:styleId="98">
    <w:name w:val="Table Paragraph"/>
    <w:basedOn w:val="1"/>
    <w:qFormat/>
    <w:uiPriority w:val="1"/>
  </w:style>
  <w:style w:type="character" w:customStyle="1" w:styleId="99">
    <w:name w:val="标题 3 Char1"/>
    <w:qFormat/>
    <w:uiPriority w:val="0"/>
    <w:rPr>
      <w:rFonts w:eastAsia="宋体"/>
      <w:b/>
      <w:bCs/>
      <w:kern w:val="2"/>
      <w:sz w:val="28"/>
      <w:szCs w:val="32"/>
      <w:lang w:val="en-US" w:eastAsia="zh-CN" w:bidi="ar-SA"/>
    </w:rPr>
  </w:style>
  <w:style w:type="paragraph" w:customStyle="1" w:styleId="100">
    <w:name w:val="表头"/>
    <w:basedOn w:val="1"/>
    <w:qFormat/>
    <w:uiPriority w:val="0"/>
    <w:pPr>
      <w:spacing w:before="200" w:line="500" w:lineRule="exact"/>
    </w:pPr>
    <w:rPr>
      <w:rFonts w:ascii="黑体" w:eastAsia="黑体"/>
      <w:spacing w:val="20"/>
      <w:kern w:val="0"/>
      <w:sz w:val="24"/>
    </w:rPr>
  </w:style>
  <w:style w:type="paragraph" w:customStyle="1" w:styleId="101">
    <w:name w:val="五号表格"/>
    <w:basedOn w:val="1"/>
    <w:qFormat/>
    <w:uiPriority w:val="0"/>
    <w:pPr>
      <w:spacing w:line="440" w:lineRule="exact"/>
      <w:jc w:val="center"/>
    </w:pPr>
  </w:style>
  <w:style w:type="paragraph" w:customStyle="1" w:styleId="102">
    <w:name w:val="样式 居中"/>
    <w:basedOn w:val="1"/>
    <w:qFormat/>
    <w:uiPriority w:val="0"/>
    <w:pPr>
      <w:adjustRightInd w:val="0"/>
      <w:snapToGrid w:val="0"/>
      <w:jc w:val="center"/>
    </w:pPr>
    <w:rPr>
      <w:rFonts w:hAnsi="宋体"/>
      <w:szCs w:val="21"/>
    </w:rPr>
  </w:style>
  <w:style w:type="character" w:customStyle="1" w:styleId="103">
    <w:name w:val="标题 1 字符"/>
    <w:link w:val="2"/>
    <w:qFormat/>
    <w:uiPriority w:val="0"/>
    <w:rPr>
      <w:rFonts w:eastAsia="黑体"/>
      <w:b/>
      <w:bCs/>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EEEBA4-8B6D-4703-8E73-A06ADF9216F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6895</Words>
  <Characters>39305</Characters>
  <Lines>327</Lines>
  <Paragraphs>92</Paragraphs>
  <TotalTime>48</TotalTime>
  <ScaleCrop>false</ScaleCrop>
  <LinksUpToDate>false</LinksUpToDate>
  <CharactersWithSpaces>46108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2018-12-12T07:14:00Z</dcterms:created>
  <dc:creator>Administrator</dc:creator>
  <cp:lastModifiedBy>点点点</cp:lastModifiedBy>
  <cp:lastPrinted>2019-11-20T05:06:00Z</cp:lastPrinted>
  <dcterms:modified xsi:type="dcterms:W3CDTF">2020-04-28T01:01:34Z</dcterms:modified>
  <dc:title>《建设项目环境影响报告表》编制说明</dc:title>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