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2018年度</w:t>
      </w:r>
    </w:p>
    <w:p>
      <w:pPr>
        <w:jc w:val="center"/>
        <w:rPr>
          <w:rFonts w:ascii="黑体" w:hAnsi="黑体" w:eastAsia="黑体" w:cs="黑体"/>
          <w:sz w:val="52"/>
          <w:szCs w:val="52"/>
        </w:rPr>
      </w:pPr>
      <w:r>
        <w:rPr>
          <w:rFonts w:hint="eastAsia" w:ascii="黑体" w:hAnsi="黑体" w:eastAsia="黑体" w:cs="黑体"/>
          <w:sz w:val="52"/>
          <w:szCs w:val="52"/>
        </w:rPr>
        <w:t>安环局部门决算</w:t>
      </w:r>
    </w:p>
    <w:p>
      <w:pPr>
        <w:jc w:val="center"/>
        <w:rPr>
          <w:rFonts w:ascii="黑体" w:hAnsi="黑体" w:eastAsia="黑体" w:cs="黑体"/>
          <w:sz w:val="52"/>
          <w:szCs w:val="52"/>
        </w:rPr>
      </w:pPr>
    </w:p>
    <w:p>
      <w:pPr>
        <w:jc w:val="center"/>
        <w:rPr>
          <w:rFonts w:ascii="黑体" w:hAnsi="黑体" w:eastAsia="黑体" w:cs="黑体"/>
          <w:sz w:val="52"/>
          <w:szCs w:val="52"/>
        </w:rPr>
      </w:pPr>
      <w:bookmarkStart w:id="0" w:name="_GoBack"/>
      <w:bookmarkEnd w:id="0"/>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6838" w:h="11906" w:orient="landscape"/>
          <w:pgMar w:top="1587" w:right="1440" w:bottom="1531" w:left="1440" w:header="850" w:footer="992" w:gutter="0"/>
          <w:pgNumType w:fmt="numberInDash"/>
          <w:cols w:space="720" w:num="1"/>
          <w:docGrid w:type="lines" w:linePitch="317" w:charSpace="0"/>
        </w:sectPr>
      </w:pPr>
      <w:r>
        <w:rPr>
          <w:rFonts w:hint="eastAsia" w:ascii="黑体" w:hAnsi="黑体" w:eastAsia="黑体" w:cs="黑体"/>
          <w:sz w:val="32"/>
          <w:szCs w:val="32"/>
        </w:rPr>
        <w:t>二〇一九年</w:t>
      </w:r>
      <w:r>
        <w:rPr>
          <w:rFonts w:hint="eastAsia" w:ascii="黑体" w:hAnsi="黑体" w:eastAsia="黑体" w:cs="黑体"/>
          <w:sz w:val="32"/>
          <w:szCs w:val="32"/>
          <w:lang w:eastAsia="zh-CN"/>
        </w:rPr>
        <w:t>九</w:t>
      </w:r>
      <w:r>
        <w:rPr>
          <w:rFonts w:hint="eastAsia" w:ascii="黑体" w:hAnsi="黑体" w:eastAsia="黑体" w:cs="黑体"/>
          <w:sz w:val="32"/>
          <w:szCs w:val="32"/>
        </w:rPr>
        <w:t>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安环局概况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2018年度部门决算表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2018年度部门决算情况说明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安环局概况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widowControl/>
        <w:ind w:firstLine="640" w:firstLineChars="200"/>
        <w:jc w:val="left"/>
        <w:outlineLvl w:val="1"/>
        <w:rPr>
          <w:rFonts w:ascii="仿宋_GB2312" w:hAnsi="仿宋" w:eastAsia="仿宋_GB2312" w:cs="仿宋"/>
          <w:sz w:val="32"/>
          <w:szCs w:val="32"/>
        </w:rPr>
      </w:pPr>
      <w:r>
        <w:rPr>
          <w:rFonts w:hint="eastAsia" w:ascii="仿宋_GB2312" w:hAnsi="宋体" w:eastAsia="仿宋_GB2312" w:cs="宋体"/>
          <w:color w:val="000000"/>
          <w:kern w:val="0"/>
          <w:sz w:val="32"/>
          <w:szCs w:val="32"/>
        </w:rPr>
        <w:t>新乡经开区安全环保监管局为2018年新组建部门，是新乡经济技术开发区管理委员会的组成部门，主要承担的工作职能是：贯彻执行国家和省市安全生产和环境保护工作法律、法规和政策，分析和预测全区安全生产和环境保护形势，发布安全生产信息，协调解决安全生产和环境保护中的重大问题；综合监督管理全区安全生产和环境保护工作，依法行使安全生产和环境保护综合监督管理职权，指导、协调和监督有关部门安全生产和环境保护监督管理工作；组织全区安全生产综合检查，开展安全生产监察执法工作，负责组织全区安全生产大检查和专项督查；并</w:t>
      </w:r>
      <w:r>
        <w:rPr>
          <w:rFonts w:hint="eastAsia" w:ascii="仿宋_GB2312" w:hAnsi="仿宋" w:eastAsia="仿宋_GB2312" w:cs="仿宋"/>
          <w:sz w:val="32"/>
          <w:szCs w:val="32"/>
        </w:rPr>
        <w:t>受市环保局委托，组织开展辖区内环境保护执法监督活动，依法调查各种环境违法行为；</w:t>
      </w:r>
      <w:r>
        <w:rPr>
          <w:rFonts w:hint="eastAsia" w:ascii="仿宋_GB2312" w:hAnsi="宋体" w:eastAsia="仿宋_GB2312" w:cs="宋体"/>
          <w:color w:val="000000"/>
          <w:kern w:val="0"/>
          <w:sz w:val="32"/>
          <w:szCs w:val="32"/>
        </w:rPr>
        <w:t>根据授权，依法牵头组织或配合上级部门安全生产一般事故调查处理工作，监督事故查处和责任追究落实情况</w:t>
      </w:r>
      <w:r>
        <w:rPr>
          <w:rFonts w:hint="eastAsia" w:ascii="仿宋_GB2312" w:eastAsia="仿宋_GB2312"/>
          <w:sz w:val="32"/>
          <w:szCs w:val="32"/>
        </w:rPr>
        <w:t>等工作</w:t>
      </w:r>
      <w:r>
        <w:rPr>
          <w:rFonts w:hint="eastAsia" w:ascii="仿宋_GB2312" w:hAnsi="宋体" w:eastAsia="仿宋_GB2312" w:cs="仿宋_GB2312"/>
          <w:color w:val="000000"/>
          <w:sz w:val="32"/>
          <w:szCs w:val="32"/>
          <w:shd w:val="clear" w:color="auto" w:fill="FFFFFF"/>
        </w:rPr>
        <w:t>；</w:t>
      </w:r>
      <w:r>
        <w:rPr>
          <w:rFonts w:hint="eastAsia" w:ascii="仿宋_GB2312" w:hAnsi="仿宋" w:eastAsia="仿宋_GB2312" w:cs="仿宋"/>
          <w:sz w:val="32"/>
          <w:szCs w:val="32"/>
        </w:rPr>
        <w:t>负责拟入区建设项目的环境影响评价文件的审批上报、组织所管理项目的试生产核查和竣工环保验收工作；负责本辖区内环境违法案件、信访案件、12369转办案件的调查和处理工作；受市局委托，组织实施辖区内排污申报登记等工作。</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安环局无内设机构。</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从决算单位构成看，安环局部门决算包括：本级决算。</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纳入本部门2018年度部门决算编制范围的单位共1个，其中二级预算单位0个，具体是：局机关1个，无二级、三级预算单位。</w:t>
      </w: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numPr>
          <w:ilvl w:val="0"/>
          <w:numId w:val="2"/>
        </w:numPr>
        <w:jc w:val="center"/>
        <w:outlineLvl w:val="0"/>
        <w:rPr>
          <w:rFonts w:hint="eastAsia" w:ascii="黑体" w:hAnsi="黑体" w:eastAsia="黑体" w:cs="黑体"/>
          <w:sz w:val="48"/>
          <w:szCs w:val="48"/>
        </w:rPr>
      </w:pPr>
      <w:r>
        <w:rPr>
          <w:rFonts w:hint="eastAsia" w:ascii="黑体" w:hAnsi="黑体" w:eastAsia="黑体" w:cs="黑体"/>
          <w:sz w:val="48"/>
          <w:szCs w:val="48"/>
        </w:rPr>
        <w:t xml:space="preserve"> 2018年度部门决算表</w:t>
      </w:r>
    </w:p>
    <w:p>
      <w:pPr>
        <w:pStyle w:val="2"/>
        <w:widowControl w:val="0"/>
        <w:numPr>
          <w:ilvl w:val="0"/>
          <w:numId w:val="0"/>
        </w:numPr>
        <w:spacing w:after="120"/>
        <w:jc w:val="both"/>
      </w:pPr>
    </w:p>
    <w:p>
      <w:pPr>
        <w:pStyle w:val="2"/>
        <w:widowControl w:val="0"/>
        <w:numPr>
          <w:ilvl w:val="0"/>
          <w:numId w:val="0"/>
        </w:numPr>
        <w:spacing w:after="120"/>
        <w:jc w:val="both"/>
      </w:pPr>
    </w:p>
    <w:p>
      <w:pPr>
        <w:pStyle w:val="2"/>
        <w:widowControl w:val="0"/>
        <w:numPr>
          <w:ilvl w:val="0"/>
          <w:numId w:val="0"/>
        </w:numPr>
        <w:spacing w:after="120"/>
        <w:jc w:val="both"/>
      </w:pPr>
    </w:p>
    <w:p>
      <w:pPr>
        <w:pStyle w:val="2"/>
        <w:widowControl w:val="0"/>
        <w:numPr>
          <w:ilvl w:val="0"/>
          <w:numId w:val="0"/>
        </w:numPr>
        <w:spacing w:after="120"/>
        <w:jc w:val="both"/>
      </w:pPr>
    </w:p>
    <w:p>
      <w:pPr>
        <w:pStyle w:val="2"/>
        <w:widowControl w:val="0"/>
        <w:numPr>
          <w:ilvl w:val="0"/>
          <w:numId w:val="0"/>
        </w:numPr>
        <w:spacing w:after="120"/>
        <w:jc w:val="both"/>
      </w:pPr>
    </w:p>
    <w:p>
      <w:pPr>
        <w:pStyle w:val="2"/>
        <w:widowControl w:val="0"/>
        <w:numPr>
          <w:ilvl w:val="0"/>
          <w:numId w:val="0"/>
        </w:numPr>
        <w:spacing w:after="120"/>
        <w:jc w:val="both"/>
      </w:pPr>
    </w:p>
    <w:p>
      <w:pPr>
        <w:pStyle w:val="2"/>
        <w:widowControl w:val="0"/>
        <w:numPr>
          <w:ilvl w:val="0"/>
          <w:numId w:val="0"/>
        </w:numPr>
        <w:spacing w:after="120"/>
        <w:jc w:val="both"/>
      </w:pPr>
    </w:p>
    <w:p>
      <w:pPr>
        <w:pStyle w:val="2"/>
        <w:widowControl w:val="0"/>
        <w:numPr>
          <w:ilvl w:val="0"/>
          <w:numId w:val="0"/>
        </w:numPr>
        <w:spacing w:after="120"/>
        <w:jc w:val="both"/>
      </w:pPr>
    </w:p>
    <w:p>
      <w:pPr>
        <w:pStyle w:val="2"/>
        <w:widowControl w:val="0"/>
        <w:numPr>
          <w:ilvl w:val="0"/>
          <w:numId w:val="0"/>
        </w:numPr>
        <w:spacing w:after="120"/>
        <w:jc w:val="both"/>
        <w:rPr>
          <w:rFonts w:hint="eastAsia" w:eastAsia="宋体"/>
          <w:lang w:eastAsia="zh-CN"/>
        </w:rPr>
      </w:pPr>
      <w:r>
        <w:rPr>
          <w:rFonts w:hint="eastAsia" w:eastAsia="宋体"/>
          <w:lang w:eastAsia="zh-CN"/>
        </w:rPr>
        <w:drawing>
          <wp:inline distT="0" distB="0" distL="114300" distR="114300">
            <wp:extent cx="6452235" cy="5272405"/>
            <wp:effectExtent l="0" t="0" r="5715" b="4445"/>
            <wp:docPr id="8" name="图片 8" descr="e0deee5449eb20a580e1660a4fdd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e0deee5449eb20a580e1660a4fdd093"/>
                    <pic:cNvPicPr>
                      <a:picLocks noChangeAspect="1"/>
                    </pic:cNvPicPr>
                  </pic:nvPicPr>
                  <pic:blipFill>
                    <a:blip r:embed="rId6"/>
                    <a:stretch>
                      <a:fillRect/>
                    </a:stretch>
                  </pic:blipFill>
                  <pic:spPr>
                    <a:xfrm>
                      <a:off x="0" y="0"/>
                      <a:ext cx="6452235" cy="5272405"/>
                    </a:xfrm>
                    <a:prstGeom prst="rect">
                      <a:avLst/>
                    </a:prstGeom>
                  </pic:spPr>
                </pic:pic>
              </a:graphicData>
            </a:graphic>
          </wp:inline>
        </w:drawing>
      </w:r>
    </w:p>
    <w:p>
      <w:pPr>
        <w:pStyle w:val="2"/>
        <w:widowControl w:val="0"/>
        <w:numPr>
          <w:ilvl w:val="0"/>
          <w:numId w:val="0"/>
        </w:numPr>
        <w:spacing w:after="120"/>
        <w:jc w:val="both"/>
        <w:rPr>
          <w:rFonts w:hint="eastAsia" w:eastAsia="宋体"/>
          <w:lang w:eastAsia="zh-CN"/>
        </w:rPr>
      </w:pPr>
      <w:r>
        <w:rPr>
          <w:rFonts w:hint="eastAsia" w:eastAsia="宋体"/>
          <w:lang w:eastAsia="zh-CN"/>
        </w:rPr>
        <w:drawing>
          <wp:inline distT="0" distB="0" distL="114300" distR="114300">
            <wp:extent cx="5427345" cy="5273675"/>
            <wp:effectExtent l="0" t="0" r="1905" b="3175"/>
            <wp:docPr id="11" name="图片 11" descr="ba5b1bedb5b14f3643b3f73fa34eb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ba5b1bedb5b14f3643b3f73fa34eb95"/>
                    <pic:cNvPicPr>
                      <a:picLocks noChangeAspect="1"/>
                    </pic:cNvPicPr>
                  </pic:nvPicPr>
                  <pic:blipFill>
                    <a:blip r:embed="rId7"/>
                    <a:stretch>
                      <a:fillRect/>
                    </a:stretch>
                  </pic:blipFill>
                  <pic:spPr>
                    <a:xfrm>
                      <a:off x="0" y="0"/>
                      <a:ext cx="5427345" cy="5273675"/>
                    </a:xfrm>
                    <a:prstGeom prst="rect">
                      <a:avLst/>
                    </a:prstGeom>
                  </pic:spPr>
                </pic:pic>
              </a:graphicData>
            </a:graphic>
          </wp:inline>
        </w:drawing>
      </w:r>
    </w:p>
    <w:p>
      <w:pPr>
        <w:pStyle w:val="2"/>
        <w:widowControl w:val="0"/>
        <w:numPr>
          <w:ilvl w:val="0"/>
          <w:numId w:val="0"/>
        </w:numPr>
        <w:spacing w:after="120"/>
        <w:jc w:val="both"/>
        <w:rPr>
          <w:rFonts w:hint="eastAsia" w:eastAsia="宋体"/>
          <w:lang w:eastAsia="zh-CN"/>
        </w:rPr>
      </w:pPr>
      <w:r>
        <w:rPr>
          <w:rFonts w:hint="eastAsia" w:eastAsia="宋体"/>
          <w:lang w:eastAsia="zh-CN"/>
        </w:rPr>
        <w:drawing>
          <wp:inline distT="0" distB="0" distL="114300" distR="114300">
            <wp:extent cx="6765290" cy="5273675"/>
            <wp:effectExtent l="0" t="0" r="16510" b="3175"/>
            <wp:docPr id="12" name="图片 12" descr="da48bc94c8d076ef15bda8816d20c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a48bc94c8d076ef15bda8816d20c15"/>
                    <pic:cNvPicPr>
                      <a:picLocks noChangeAspect="1"/>
                    </pic:cNvPicPr>
                  </pic:nvPicPr>
                  <pic:blipFill>
                    <a:blip r:embed="rId8"/>
                    <a:stretch>
                      <a:fillRect/>
                    </a:stretch>
                  </pic:blipFill>
                  <pic:spPr>
                    <a:xfrm>
                      <a:off x="0" y="0"/>
                      <a:ext cx="6765290" cy="5273675"/>
                    </a:xfrm>
                    <a:prstGeom prst="rect">
                      <a:avLst/>
                    </a:prstGeom>
                  </pic:spPr>
                </pic:pic>
              </a:graphicData>
            </a:graphic>
          </wp:inline>
        </w:drawing>
      </w:r>
    </w:p>
    <w:p>
      <w:pPr>
        <w:pStyle w:val="2"/>
        <w:widowControl w:val="0"/>
        <w:numPr>
          <w:ilvl w:val="0"/>
          <w:numId w:val="0"/>
        </w:numPr>
        <w:spacing w:after="120"/>
        <w:jc w:val="both"/>
        <w:rPr>
          <w:rFonts w:hint="eastAsia" w:eastAsia="宋体"/>
          <w:lang w:eastAsia="zh-CN"/>
        </w:rPr>
      </w:pPr>
      <w:r>
        <w:rPr>
          <w:rFonts w:hint="eastAsia" w:eastAsia="宋体"/>
          <w:lang w:eastAsia="zh-CN"/>
        </w:rPr>
        <w:drawing>
          <wp:inline distT="0" distB="0" distL="114300" distR="114300">
            <wp:extent cx="6901180" cy="5273675"/>
            <wp:effectExtent l="0" t="0" r="13970" b="3175"/>
            <wp:docPr id="13" name="图片 13" descr="1f9a1711279b508cd3087403e9fcd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f9a1711279b508cd3087403e9fcd8e"/>
                    <pic:cNvPicPr>
                      <a:picLocks noChangeAspect="1"/>
                    </pic:cNvPicPr>
                  </pic:nvPicPr>
                  <pic:blipFill>
                    <a:blip r:embed="rId9"/>
                    <a:stretch>
                      <a:fillRect/>
                    </a:stretch>
                  </pic:blipFill>
                  <pic:spPr>
                    <a:xfrm>
                      <a:off x="0" y="0"/>
                      <a:ext cx="6901180" cy="5273675"/>
                    </a:xfrm>
                    <a:prstGeom prst="rect">
                      <a:avLst/>
                    </a:prstGeom>
                  </pic:spPr>
                </pic:pic>
              </a:graphicData>
            </a:graphic>
          </wp:inline>
        </w:drawing>
      </w:r>
    </w:p>
    <w:p>
      <w:pPr>
        <w:pStyle w:val="2"/>
        <w:widowControl w:val="0"/>
        <w:numPr>
          <w:ilvl w:val="0"/>
          <w:numId w:val="0"/>
        </w:numPr>
        <w:spacing w:after="120"/>
        <w:jc w:val="both"/>
        <w:rPr>
          <w:rFonts w:hint="eastAsia" w:eastAsia="宋体"/>
          <w:lang w:eastAsia="zh-CN"/>
        </w:rPr>
      </w:pPr>
      <w:r>
        <w:rPr>
          <w:rFonts w:hint="eastAsia" w:eastAsia="宋体"/>
          <w:lang w:eastAsia="zh-CN"/>
        </w:rPr>
        <w:drawing>
          <wp:inline distT="0" distB="0" distL="114300" distR="114300">
            <wp:extent cx="6435090" cy="5271135"/>
            <wp:effectExtent l="0" t="0" r="3810" b="5715"/>
            <wp:docPr id="14" name="图片 14" descr="165e991c636d5e598d82a39252a15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5e991c636d5e598d82a39252a15ec"/>
                    <pic:cNvPicPr>
                      <a:picLocks noChangeAspect="1"/>
                    </pic:cNvPicPr>
                  </pic:nvPicPr>
                  <pic:blipFill>
                    <a:blip r:embed="rId10"/>
                    <a:stretch>
                      <a:fillRect/>
                    </a:stretch>
                  </pic:blipFill>
                  <pic:spPr>
                    <a:xfrm>
                      <a:off x="0" y="0"/>
                      <a:ext cx="6435090" cy="5271135"/>
                    </a:xfrm>
                    <a:prstGeom prst="rect">
                      <a:avLst/>
                    </a:prstGeom>
                  </pic:spPr>
                </pic:pic>
              </a:graphicData>
            </a:graphic>
          </wp:inline>
        </w:drawing>
      </w:r>
    </w:p>
    <w:p>
      <w:pPr>
        <w:pStyle w:val="2"/>
        <w:widowControl w:val="0"/>
        <w:numPr>
          <w:ilvl w:val="0"/>
          <w:numId w:val="0"/>
        </w:numPr>
        <w:spacing w:after="120"/>
        <w:jc w:val="both"/>
        <w:rPr>
          <w:rFonts w:hint="eastAsia" w:eastAsia="宋体"/>
          <w:lang w:eastAsia="zh-CN"/>
        </w:rPr>
      </w:pPr>
      <w:r>
        <w:rPr>
          <w:rFonts w:hint="eastAsia" w:eastAsia="宋体"/>
          <w:lang w:eastAsia="zh-CN"/>
        </w:rPr>
        <w:drawing>
          <wp:inline distT="0" distB="0" distL="114300" distR="114300">
            <wp:extent cx="7769860" cy="5271770"/>
            <wp:effectExtent l="0" t="0" r="2540" b="5080"/>
            <wp:docPr id="15" name="图片 15" descr="e6ebd758cb6a6ffca845fec63efec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e6ebd758cb6a6ffca845fec63efec4a"/>
                    <pic:cNvPicPr>
                      <a:picLocks noChangeAspect="1"/>
                    </pic:cNvPicPr>
                  </pic:nvPicPr>
                  <pic:blipFill>
                    <a:blip r:embed="rId11"/>
                    <a:stretch>
                      <a:fillRect/>
                    </a:stretch>
                  </pic:blipFill>
                  <pic:spPr>
                    <a:xfrm>
                      <a:off x="0" y="0"/>
                      <a:ext cx="7769860" cy="5271770"/>
                    </a:xfrm>
                    <a:prstGeom prst="rect">
                      <a:avLst/>
                    </a:prstGeom>
                  </pic:spPr>
                </pic:pic>
              </a:graphicData>
            </a:graphic>
          </wp:inline>
        </w:drawing>
      </w:r>
    </w:p>
    <w:p>
      <w:pPr>
        <w:pStyle w:val="2"/>
        <w:widowControl w:val="0"/>
        <w:numPr>
          <w:ilvl w:val="0"/>
          <w:numId w:val="0"/>
        </w:numPr>
        <w:spacing w:after="120"/>
        <w:jc w:val="both"/>
        <w:rPr>
          <w:rFonts w:hint="eastAsia" w:eastAsia="宋体"/>
          <w:lang w:eastAsia="zh-CN"/>
        </w:rPr>
      </w:pPr>
      <w:r>
        <w:rPr>
          <w:rFonts w:hint="eastAsia" w:eastAsia="宋体"/>
          <w:lang w:eastAsia="zh-CN"/>
        </w:rPr>
        <w:drawing>
          <wp:inline distT="0" distB="0" distL="114300" distR="114300">
            <wp:extent cx="8862060" cy="1844675"/>
            <wp:effectExtent l="0" t="0" r="15240" b="3175"/>
            <wp:docPr id="16" name="图片 16" descr="6b9778054e91b9ff21fc1aad33ae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6b9778054e91b9ff21fc1aad33ae351"/>
                    <pic:cNvPicPr>
                      <a:picLocks noChangeAspect="1"/>
                    </pic:cNvPicPr>
                  </pic:nvPicPr>
                  <pic:blipFill>
                    <a:blip r:embed="rId12"/>
                    <a:stretch>
                      <a:fillRect/>
                    </a:stretch>
                  </pic:blipFill>
                  <pic:spPr>
                    <a:xfrm>
                      <a:off x="0" y="0"/>
                      <a:ext cx="8862060" cy="1844675"/>
                    </a:xfrm>
                    <a:prstGeom prst="rect">
                      <a:avLst/>
                    </a:prstGeom>
                  </pic:spPr>
                </pic:pic>
              </a:graphicData>
            </a:graphic>
          </wp:inline>
        </w:drawing>
      </w:r>
    </w:p>
    <w:p>
      <w:pPr>
        <w:pStyle w:val="2"/>
        <w:widowControl w:val="0"/>
        <w:numPr>
          <w:ilvl w:val="0"/>
          <w:numId w:val="0"/>
        </w:numPr>
        <w:spacing w:after="120"/>
        <w:jc w:val="both"/>
      </w:pPr>
    </w:p>
    <w:p>
      <w:pPr>
        <w:pStyle w:val="2"/>
        <w:widowControl w:val="0"/>
        <w:numPr>
          <w:ilvl w:val="0"/>
          <w:numId w:val="0"/>
        </w:numPr>
        <w:spacing w:after="120"/>
        <w:jc w:val="both"/>
      </w:pPr>
    </w:p>
    <w:p>
      <w:pPr>
        <w:pStyle w:val="2"/>
        <w:widowControl w:val="0"/>
        <w:numPr>
          <w:ilvl w:val="0"/>
          <w:numId w:val="0"/>
        </w:numPr>
        <w:spacing w:after="120"/>
        <w:jc w:val="both"/>
      </w:pPr>
    </w:p>
    <w:p>
      <w:pPr>
        <w:pStyle w:val="2"/>
        <w:widowControl w:val="0"/>
        <w:numPr>
          <w:ilvl w:val="0"/>
          <w:numId w:val="0"/>
        </w:numPr>
        <w:spacing w:after="120"/>
        <w:jc w:val="both"/>
      </w:pPr>
    </w:p>
    <w:p>
      <w:pPr>
        <w:pStyle w:val="2"/>
        <w:widowControl w:val="0"/>
        <w:numPr>
          <w:ilvl w:val="0"/>
          <w:numId w:val="0"/>
        </w:numPr>
        <w:spacing w:after="120"/>
        <w:jc w:val="both"/>
      </w:pPr>
    </w:p>
    <w:p>
      <w:pPr>
        <w:pStyle w:val="2"/>
        <w:widowControl w:val="0"/>
        <w:numPr>
          <w:ilvl w:val="0"/>
          <w:numId w:val="0"/>
        </w:numPr>
        <w:spacing w:after="120"/>
        <w:jc w:val="both"/>
      </w:pPr>
    </w:p>
    <w:p>
      <w:pPr>
        <w:pStyle w:val="2"/>
        <w:widowControl w:val="0"/>
        <w:numPr>
          <w:ilvl w:val="0"/>
          <w:numId w:val="0"/>
        </w:numPr>
        <w:spacing w:after="120"/>
        <w:jc w:val="both"/>
      </w:pPr>
    </w:p>
    <w:p>
      <w:pPr>
        <w:pStyle w:val="2"/>
        <w:widowControl w:val="0"/>
        <w:numPr>
          <w:ilvl w:val="0"/>
          <w:numId w:val="0"/>
        </w:numPr>
        <w:spacing w:after="120"/>
        <w:jc w:val="both"/>
      </w:pPr>
    </w:p>
    <w:p>
      <w:pPr>
        <w:pStyle w:val="2"/>
        <w:widowControl w:val="0"/>
        <w:numPr>
          <w:ilvl w:val="0"/>
          <w:numId w:val="0"/>
        </w:numPr>
        <w:spacing w:after="120"/>
        <w:jc w:val="both"/>
      </w:pPr>
    </w:p>
    <w:p>
      <w:pPr>
        <w:pStyle w:val="2"/>
        <w:widowControl w:val="0"/>
        <w:numPr>
          <w:ilvl w:val="0"/>
          <w:numId w:val="0"/>
        </w:numPr>
        <w:spacing w:after="120"/>
        <w:jc w:val="both"/>
      </w:pPr>
    </w:p>
    <w:p>
      <w:pPr>
        <w:pStyle w:val="2"/>
        <w:widowControl w:val="0"/>
        <w:numPr>
          <w:ilvl w:val="0"/>
          <w:numId w:val="0"/>
        </w:numPr>
        <w:spacing w:after="120"/>
        <w:jc w:val="both"/>
      </w:pPr>
    </w:p>
    <w:p>
      <w:pPr>
        <w:pStyle w:val="2"/>
        <w:widowControl w:val="0"/>
        <w:numPr>
          <w:ilvl w:val="0"/>
          <w:numId w:val="0"/>
        </w:numPr>
        <w:spacing w:after="120"/>
        <w:jc w:val="both"/>
      </w:pPr>
    </w:p>
    <w:p>
      <w:pPr>
        <w:pStyle w:val="2"/>
        <w:widowControl w:val="0"/>
        <w:numPr>
          <w:ilvl w:val="0"/>
          <w:numId w:val="0"/>
        </w:numPr>
        <w:spacing w:after="120"/>
        <w:jc w:val="both"/>
      </w:pPr>
    </w:p>
    <w:p>
      <w:pPr>
        <w:pStyle w:val="2"/>
        <w:widowControl w:val="0"/>
        <w:numPr>
          <w:ilvl w:val="0"/>
          <w:numId w:val="0"/>
        </w:numPr>
        <w:spacing w:after="120"/>
        <w:jc w:val="both"/>
      </w:pPr>
    </w:p>
    <w:p>
      <w:pPr>
        <w:pStyle w:val="2"/>
        <w:widowControl w:val="0"/>
        <w:numPr>
          <w:ilvl w:val="0"/>
          <w:numId w:val="0"/>
        </w:numPr>
        <w:spacing w:after="120"/>
        <w:jc w:val="both"/>
      </w:pPr>
    </w:p>
    <w:tbl>
      <w:tblPr>
        <w:tblStyle w:val="14"/>
        <w:tblW w:w="11952" w:type="dxa"/>
        <w:tblInd w:w="0" w:type="dxa"/>
        <w:tblLayout w:type="fixed"/>
        <w:tblCellMar>
          <w:top w:w="0" w:type="dxa"/>
          <w:left w:w="0" w:type="dxa"/>
          <w:bottom w:w="0" w:type="dxa"/>
          <w:right w:w="0" w:type="dxa"/>
        </w:tblCellMar>
      </w:tblPr>
      <w:tblGrid>
        <w:gridCol w:w="4630"/>
        <w:gridCol w:w="36"/>
        <w:gridCol w:w="36"/>
        <w:gridCol w:w="910"/>
        <w:gridCol w:w="1570"/>
        <w:gridCol w:w="910"/>
        <w:gridCol w:w="470"/>
        <w:gridCol w:w="910"/>
        <w:gridCol w:w="910"/>
        <w:gridCol w:w="1570"/>
      </w:tblGrid>
      <w:tr>
        <w:tblPrEx>
          <w:tblLayout w:type="fixed"/>
          <w:tblCellMar>
            <w:top w:w="0" w:type="dxa"/>
            <w:left w:w="0" w:type="dxa"/>
            <w:bottom w:w="0" w:type="dxa"/>
            <w:right w:w="0" w:type="dxa"/>
          </w:tblCellMar>
        </w:tblPrEx>
        <w:trPr>
          <w:trHeight w:val="390" w:hRule="atLeast"/>
        </w:trPr>
        <w:tc>
          <w:tcPr>
            <w:tcW w:w="11952" w:type="dxa"/>
            <w:gridSpan w:val="10"/>
            <w:tcBorders>
              <w:top w:val="nil"/>
              <w:left w:val="nil"/>
              <w:bottom w:val="nil"/>
              <w:right w:val="nil"/>
            </w:tcBorders>
            <w:tcMar>
              <w:top w:w="15" w:type="dxa"/>
              <w:left w:w="15" w:type="dxa"/>
              <w:right w:w="15" w:type="dxa"/>
            </w:tcMar>
            <w:vAlign w:val="bottom"/>
          </w:tcPr>
          <w:p>
            <w:pPr>
              <w:jc w:val="center"/>
              <w:rPr>
                <w:rFonts w:ascii="Arial" w:hAnsi="Arial" w:cs="Arial"/>
                <w:color w:val="000000"/>
                <w:sz w:val="20"/>
                <w:szCs w:val="20"/>
              </w:rPr>
            </w:pPr>
            <w:r>
              <w:rPr>
                <w:rFonts w:hint="eastAsia" w:ascii="宋体" w:hAnsi="宋体" w:cs="宋体"/>
                <w:color w:val="000000"/>
                <w:kern w:val="0"/>
                <w:sz w:val="30"/>
                <w:szCs w:val="30"/>
                <w:lang w:val="en-US" w:eastAsia="zh-CN" w:bidi="ar"/>
              </w:rPr>
              <w:t>2018年</w:t>
            </w:r>
            <w:r>
              <w:rPr>
                <w:rFonts w:hint="eastAsia" w:ascii="宋体" w:hAnsi="宋体" w:cs="宋体"/>
                <w:color w:val="000000"/>
                <w:kern w:val="0"/>
                <w:sz w:val="30"/>
                <w:szCs w:val="30"/>
                <w:lang w:bidi="ar"/>
              </w:rPr>
              <w:t>政府性基金预算财政拨款收入支出决算表</w:t>
            </w:r>
          </w:p>
        </w:tc>
      </w:tr>
      <w:tr>
        <w:tblPrEx>
          <w:tblLayout w:type="fixed"/>
          <w:tblCellMar>
            <w:top w:w="0" w:type="dxa"/>
            <w:left w:w="0" w:type="dxa"/>
            <w:bottom w:w="0" w:type="dxa"/>
            <w:right w:w="0" w:type="dxa"/>
          </w:tblCellMar>
        </w:tblPrEx>
        <w:trPr>
          <w:trHeight w:val="255" w:hRule="atLeast"/>
        </w:trPr>
        <w:tc>
          <w:tcPr>
            <w:tcW w:w="463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1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7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1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7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1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1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70"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公开08表</w:t>
            </w:r>
          </w:p>
        </w:tc>
      </w:tr>
      <w:tr>
        <w:tblPrEx>
          <w:tblLayout w:type="fixed"/>
          <w:tblCellMar>
            <w:top w:w="0" w:type="dxa"/>
            <w:left w:w="0" w:type="dxa"/>
            <w:bottom w:w="0" w:type="dxa"/>
            <w:right w:w="0" w:type="dxa"/>
          </w:tblCellMar>
        </w:tblPrEx>
        <w:trPr>
          <w:trHeight w:val="255" w:hRule="atLeast"/>
        </w:trPr>
        <w:tc>
          <w:tcPr>
            <w:tcW w:w="4630"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lang w:bidi="ar"/>
              </w:rPr>
              <w:t>部门：新乡经济技术开发区管理委员会</w:t>
            </w:r>
            <w:r>
              <w:rPr>
                <w:rFonts w:hint="eastAsia" w:ascii="宋体" w:hAnsi="宋体" w:cs="宋体"/>
                <w:color w:val="000000"/>
                <w:kern w:val="0"/>
                <w:sz w:val="20"/>
                <w:szCs w:val="20"/>
                <w:lang w:eastAsia="zh-CN" w:bidi="ar"/>
              </w:rPr>
              <w:t>安全环保监管局</w:t>
            </w:r>
          </w:p>
        </w:tc>
        <w:tc>
          <w:tcPr>
            <w:tcW w:w="3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1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7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1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7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1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1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70"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w:t>
            </w:r>
            <w:r>
              <w:rPr>
                <w:rFonts w:hint="eastAsia" w:ascii="宋体" w:hAnsi="宋体" w:cs="宋体"/>
                <w:color w:val="000000"/>
                <w:kern w:val="0"/>
                <w:sz w:val="20"/>
                <w:szCs w:val="20"/>
                <w:lang w:eastAsia="zh-CN" w:bidi="ar"/>
              </w:rPr>
              <w:t>万</w:t>
            </w:r>
            <w:r>
              <w:rPr>
                <w:rFonts w:hint="eastAsia" w:ascii="宋体" w:hAnsi="宋体" w:cs="宋体"/>
                <w:color w:val="000000"/>
                <w:kern w:val="0"/>
                <w:sz w:val="20"/>
                <w:szCs w:val="20"/>
                <w:lang w:bidi="ar"/>
              </w:rPr>
              <w:t>元</w:t>
            </w:r>
          </w:p>
        </w:tc>
      </w:tr>
      <w:tr>
        <w:tblPrEx>
          <w:tblLayout w:type="fixed"/>
          <w:tblCellMar>
            <w:top w:w="0" w:type="dxa"/>
            <w:left w:w="0" w:type="dxa"/>
            <w:bottom w:w="0" w:type="dxa"/>
            <w:right w:w="0" w:type="dxa"/>
          </w:tblCellMar>
        </w:tblPrEx>
        <w:trPr>
          <w:trHeight w:val="308" w:hRule="atLeast"/>
        </w:trPr>
        <w:tc>
          <w:tcPr>
            <w:tcW w:w="5612" w:type="dxa"/>
            <w:gridSpan w:val="4"/>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157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年初结转和结余</w:t>
            </w:r>
          </w:p>
        </w:tc>
        <w:tc>
          <w:tcPr>
            <w:tcW w:w="91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本年收入</w:t>
            </w:r>
          </w:p>
        </w:tc>
        <w:tc>
          <w:tcPr>
            <w:tcW w:w="2290"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w:t>
            </w:r>
          </w:p>
        </w:tc>
        <w:tc>
          <w:tcPr>
            <w:tcW w:w="157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年末结转和结余</w:t>
            </w:r>
          </w:p>
        </w:tc>
      </w:tr>
      <w:tr>
        <w:tblPrEx>
          <w:tblLayout w:type="fixed"/>
          <w:tblCellMar>
            <w:top w:w="0" w:type="dxa"/>
            <w:left w:w="0" w:type="dxa"/>
            <w:bottom w:w="0" w:type="dxa"/>
            <w:right w:w="0" w:type="dxa"/>
          </w:tblCellMar>
        </w:tblPrEx>
        <w:trPr>
          <w:trHeight w:val="312" w:hRule="atLeast"/>
        </w:trPr>
        <w:tc>
          <w:tcPr>
            <w:tcW w:w="4702"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9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5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91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4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9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9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15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12" w:hRule="atLeast"/>
        </w:trPr>
        <w:tc>
          <w:tcPr>
            <w:tcW w:w="470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9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5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91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4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9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9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5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12" w:hRule="atLeast"/>
        </w:trPr>
        <w:tc>
          <w:tcPr>
            <w:tcW w:w="470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9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5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91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4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9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9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5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5612"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1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9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4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9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9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r>
      <w:tr>
        <w:tblPrEx>
          <w:tblLayout w:type="fixed"/>
          <w:tblCellMar>
            <w:top w:w="0" w:type="dxa"/>
            <w:left w:w="0" w:type="dxa"/>
            <w:bottom w:w="0" w:type="dxa"/>
            <w:right w:w="0" w:type="dxa"/>
          </w:tblCellMar>
        </w:tblPrEx>
        <w:trPr>
          <w:trHeight w:val="308" w:hRule="atLeast"/>
        </w:trPr>
        <w:tc>
          <w:tcPr>
            <w:tcW w:w="5612"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b/>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b/>
                <w:color w:val="000000"/>
                <w:sz w:val="22"/>
              </w:rPr>
            </w:pPr>
          </w:p>
        </w:tc>
        <w:tc>
          <w:tcPr>
            <w:tcW w:w="4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b/>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b/>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b/>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b/>
                <w:color w:val="000000"/>
                <w:sz w:val="22"/>
              </w:rPr>
            </w:pPr>
          </w:p>
        </w:tc>
      </w:tr>
      <w:tr>
        <w:tblPrEx>
          <w:tblLayout w:type="fixed"/>
          <w:tblCellMar>
            <w:top w:w="0" w:type="dxa"/>
            <w:left w:w="0" w:type="dxa"/>
            <w:bottom w:w="0" w:type="dxa"/>
            <w:right w:w="0" w:type="dxa"/>
          </w:tblCellMar>
        </w:tblPrEx>
        <w:trPr>
          <w:trHeight w:val="308" w:hRule="atLeast"/>
        </w:trPr>
        <w:tc>
          <w:tcPr>
            <w:tcW w:w="47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4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47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4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47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4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47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4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47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4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47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4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11952" w:type="dxa"/>
            <w:gridSpan w:val="10"/>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注：本表反映部门本年度政府性基金预算财政拨款收入、支出及结转和结余情况。</w:t>
            </w:r>
          </w:p>
        </w:tc>
      </w:tr>
    </w:tbl>
    <w:p>
      <w:pPr>
        <w:widowControl/>
        <w:spacing w:line="590" w:lineRule="exact"/>
        <w:ind w:firstLine="640" w:firstLineChars="200"/>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 xml:space="preserve">说明：我部门没有政府性基金收入，也没有使用政府性基金安排的支出，故本表无数据。 </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2018年度部门决算情况说明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2018年度收、支总计均为617.5万元，因是新成立部门，无与上年对比数据。</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2018年度收入合计617.5万元，其中：财政拨款收入617.5万元，占100%，因是新成立部门，无与上年对比数据。</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2018年度支出合计368.2万元，其中：基本支出229.87万元，占62.43%；项目支出138.32万元，占37.57%；因是新成立部门，无与上年对比数据。</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2018年度财政拨款收、支总计均为617.5万元，因是新成立部门，无与上年对比数据。</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2018年度一般公共预算财政拨款支出368.2万元，占本年支出合计的59.63%。</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一般公共预算财政拨款支出368.2万元，主要用于以下方面：机关事业单位基本养老保险缴费支出26.41万元，占7.17%；节能环保支出-环境保护管理事务-行政运行188万元，占51.06%；其他环境监测与监察支出94.68万元，占25.71%；其他安全生产监管支出16.74万元，占4.55%。</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2018年度一般公共预算财政拨款支出年初预算为532.56万元，支出决算为368.2万元，完成年初预算的69.14%。其中：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1.208</w:t>
      </w:r>
      <w:r>
        <w:rPr>
          <w:rFonts w:hint="eastAsia" w:ascii="仿宋_GB2312" w:hAnsi="仿宋_GB2312" w:eastAsia="仿宋_GB2312" w:cs="仿宋_GB2312"/>
          <w:b/>
          <w:bCs/>
          <w:sz w:val="32"/>
          <w:szCs w:val="32"/>
          <w:lang w:eastAsia="zh-CN"/>
        </w:rPr>
        <w:t>社会保障和就业支出（类）</w:t>
      </w:r>
      <w:r>
        <w:rPr>
          <w:rFonts w:hint="eastAsia" w:ascii="仿宋_GB2312" w:hAnsi="仿宋_GB2312" w:eastAsia="仿宋_GB2312" w:cs="仿宋_GB2312"/>
          <w:b/>
          <w:bCs/>
          <w:sz w:val="32"/>
          <w:szCs w:val="32"/>
          <w:lang w:val="en-US" w:eastAsia="zh-CN"/>
        </w:rPr>
        <w:t>05</w:t>
      </w:r>
      <w:r>
        <w:rPr>
          <w:rFonts w:hint="eastAsia" w:ascii="仿宋_GB2312" w:hAnsi="仿宋_GB2312" w:eastAsia="仿宋_GB2312" w:cs="仿宋_GB2312"/>
          <w:b/>
          <w:bCs/>
          <w:sz w:val="32"/>
          <w:szCs w:val="32"/>
          <w:lang w:eastAsia="zh-CN"/>
        </w:rPr>
        <w:t>行政事业单位离退休（款）</w:t>
      </w:r>
      <w:r>
        <w:rPr>
          <w:rFonts w:hint="eastAsia" w:ascii="仿宋_GB2312" w:hAnsi="仿宋_GB2312" w:eastAsia="仿宋_GB2312" w:cs="仿宋_GB2312"/>
          <w:b/>
          <w:bCs/>
          <w:sz w:val="32"/>
          <w:szCs w:val="32"/>
          <w:lang w:val="en-US" w:eastAsia="zh-CN"/>
        </w:rPr>
        <w:t>05</w:t>
      </w:r>
      <w:r>
        <w:rPr>
          <w:rFonts w:hint="eastAsia" w:ascii="仿宋_GB2312" w:hAnsi="仿宋_GB2312" w:eastAsia="仿宋_GB2312" w:cs="仿宋_GB2312"/>
          <w:b/>
          <w:bCs/>
          <w:sz w:val="32"/>
          <w:szCs w:val="32"/>
          <w:lang w:eastAsia="zh-CN"/>
        </w:rPr>
        <w:t>机关事业单位基本养老保险缴费支出（项）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11.56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26.41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226.7</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highlight w:val="none"/>
          <w:lang w:eastAsia="zh-CN"/>
        </w:rPr>
        <w:t>部门及人员调整</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2.208</w:t>
      </w:r>
      <w:r>
        <w:rPr>
          <w:rFonts w:hint="eastAsia" w:ascii="仿宋_GB2312" w:hAnsi="仿宋_GB2312" w:eastAsia="仿宋_GB2312" w:cs="仿宋_GB2312"/>
          <w:b/>
          <w:bCs/>
          <w:sz w:val="32"/>
          <w:szCs w:val="32"/>
          <w:lang w:eastAsia="zh-CN"/>
        </w:rPr>
        <w:t>社会保障和就业支出（类）</w:t>
      </w:r>
      <w:r>
        <w:rPr>
          <w:rFonts w:hint="eastAsia" w:ascii="仿宋_GB2312" w:hAnsi="仿宋_GB2312" w:eastAsia="仿宋_GB2312" w:cs="仿宋_GB2312"/>
          <w:b/>
          <w:bCs/>
          <w:sz w:val="32"/>
          <w:szCs w:val="32"/>
          <w:lang w:val="en-US" w:eastAsia="zh-CN"/>
        </w:rPr>
        <w:t>05</w:t>
      </w:r>
      <w:r>
        <w:rPr>
          <w:rFonts w:hint="eastAsia" w:ascii="仿宋_GB2312" w:hAnsi="仿宋_GB2312" w:eastAsia="仿宋_GB2312" w:cs="仿宋_GB2312"/>
          <w:b/>
          <w:bCs/>
          <w:sz w:val="32"/>
          <w:szCs w:val="32"/>
          <w:lang w:eastAsia="zh-CN"/>
        </w:rPr>
        <w:t>行政事业单位离退休（款）</w:t>
      </w:r>
      <w:r>
        <w:rPr>
          <w:rFonts w:hint="eastAsia" w:ascii="仿宋_GB2312" w:hAnsi="仿宋_GB2312" w:eastAsia="仿宋_GB2312" w:cs="仿宋_GB2312"/>
          <w:b/>
          <w:bCs/>
          <w:sz w:val="32"/>
          <w:szCs w:val="32"/>
          <w:lang w:val="en-US" w:eastAsia="zh-CN"/>
        </w:rPr>
        <w:t>06</w:t>
      </w:r>
      <w:r>
        <w:rPr>
          <w:rFonts w:hint="eastAsia" w:ascii="仿宋_GB2312" w:hAnsi="仿宋_GB2312" w:eastAsia="仿宋_GB2312" w:cs="仿宋_GB2312"/>
          <w:b/>
          <w:bCs/>
          <w:sz w:val="32"/>
          <w:szCs w:val="32"/>
          <w:lang w:eastAsia="zh-CN"/>
        </w:rPr>
        <w:t>机关事业单位职业年金缴费支出（项）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sz w:val="32"/>
          <w:szCs w:val="32"/>
        </w:rPr>
        <w:t>万元。决算数与年初预算数存在差异的主要原因是</w:t>
      </w:r>
      <w:r>
        <w:rPr>
          <w:rFonts w:hint="eastAsia" w:ascii="仿宋_GB2312" w:hAnsi="仿宋_GB2312" w:eastAsia="仿宋_GB2312" w:cs="仿宋_GB2312"/>
          <w:sz w:val="32"/>
          <w:szCs w:val="32"/>
          <w:lang w:eastAsia="zh-CN"/>
        </w:rPr>
        <w:t>部门及人员调整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sz w:val="32"/>
          <w:szCs w:val="32"/>
          <w:lang w:val="en-US" w:eastAsia="zh-CN"/>
        </w:rPr>
        <w:t>3.208</w:t>
      </w:r>
      <w:r>
        <w:rPr>
          <w:rFonts w:hint="eastAsia" w:ascii="仿宋_GB2312" w:hAnsi="仿宋_GB2312" w:eastAsia="仿宋_GB2312" w:cs="仿宋_GB2312"/>
          <w:b/>
          <w:bCs/>
          <w:sz w:val="32"/>
          <w:szCs w:val="32"/>
          <w:lang w:eastAsia="zh-CN"/>
        </w:rPr>
        <w:t>社会保障和就业支出（类）</w:t>
      </w:r>
      <w:r>
        <w:rPr>
          <w:rFonts w:hint="eastAsia" w:ascii="仿宋_GB2312" w:hAnsi="仿宋_GB2312" w:eastAsia="仿宋_GB2312" w:cs="仿宋_GB2312"/>
          <w:b/>
          <w:bCs/>
          <w:sz w:val="32"/>
          <w:szCs w:val="32"/>
          <w:lang w:val="en-US" w:eastAsia="zh-CN"/>
        </w:rPr>
        <w:t>99</w:t>
      </w:r>
      <w:r>
        <w:rPr>
          <w:rFonts w:hint="eastAsia" w:ascii="仿宋_GB2312" w:hAnsi="仿宋_GB2312" w:eastAsia="仿宋_GB2312" w:cs="仿宋_GB2312"/>
          <w:b/>
          <w:bCs/>
          <w:sz w:val="32"/>
          <w:szCs w:val="32"/>
        </w:rPr>
        <w:t>其他社会保障和就业支出</w:t>
      </w:r>
      <w:r>
        <w:rPr>
          <w:rFonts w:hint="eastAsia" w:ascii="仿宋_GB2312" w:hAnsi="仿宋_GB2312" w:eastAsia="仿宋_GB2312" w:cs="仿宋_GB2312"/>
          <w:b/>
          <w:bCs/>
          <w:sz w:val="32"/>
          <w:szCs w:val="32"/>
          <w:lang w:eastAsia="zh-CN"/>
        </w:rPr>
        <w:t>（款）</w:t>
      </w:r>
      <w:r>
        <w:rPr>
          <w:rFonts w:hint="eastAsia" w:ascii="仿宋_GB2312" w:hAnsi="仿宋_GB2312" w:eastAsia="仿宋_GB2312" w:cs="仿宋_GB2312"/>
          <w:b/>
          <w:bCs/>
          <w:sz w:val="32"/>
          <w:szCs w:val="32"/>
          <w:lang w:val="en-US" w:eastAsia="zh-CN"/>
        </w:rPr>
        <w:t>01</w:t>
      </w:r>
      <w:r>
        <w:rPr>
          <w:rFonts w:hint="eastAsia" w:ascii="仿宋_GB2312" w:hAnsi="仿宋_GB2312" w:eastAsia="仿宋_GB2312" w:cs="仿宋_GB2312"/>
          <w:b/>
          <w:bCs/>
          <w:sz w:val="32"/>
          <w:szCs w:val="32"/>
        </w:rPr>
        <w:t>其他社会保障和就业支出</w:t>
      </w:r>
      <w:r>
        <w:rPr>
          <w:rFonts w:hint="eastAsia" w:ascii="仿宋_GB2312" w:hAnsi="仿宋_GB2312" w:eastAsia="仿宋_GB2312" w:cs="仿宋_GB2312"/>
          <w:b/>
          <w:bCs/>
          <w:sz w:val="32"/>
          <w:szCs w:val="32"/>
          <w:lang w:eastAsia="zh-CN"/>
        </w:rPr>
        <w:t>（项）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0.29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0.27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93.1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w:t>
      </w:r>
      <w:r>
        <w:rPr>
          <w:rFonts w:hint="eastAsia" w:ascii="仿宋_GB2312" w:hAnsi="仿宋_GB2312" w:eastAsia="仿宋_GB2312" w:cs="仿宋_GB2312"/>
          <w:sz w:val="32"/>
          <w:szCs w:val="32"/>
          <w:highlight w:val="none"/>
        </w:rPr>
        <w:t>的主要</w:t>
      </w:r>
      <w:r>
        <w:rPr>
          <w:rFonts w:hint="eastAsia" w:ascii="仿宋_GB2312" w:hAnsi="仿宋_GB2312" w:eastAsia="仿宋_GB2312" w:cs="仿宋_GB2312"/>
          <w:sz w:val="32"/>
          <w:szCs w:val="32"/>
          <w:highlight w:val="none"/>
          <w:lang w:eastAsia="zh-CN"/>
        </w:rPr>
        <w:t>原因是年中部门人员缴费基数调整。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4.210</w:t>
      </w:r>
      <w:r>
        <w:rPr>
          <w:rFonts w:hint="eastAsia" w:ascii="仿宋_GB2312" w:hAnsi="仿宋_GB2312" w:eastAsia="仿宋_GB2312" w:cs="仿宋_GB2312"/>
          <w:b/>
          <w:bCs/>
          <w:sz w:val="32"/>
          <w:szCs w:val="32"/>
          <w:highlight w:val="none"/>
          <w:lang w:eastAsia="zh-CN"/>
        </w:rPr>
        <w:t>卫生健康支出（类）</w:t>
      </w:r>
      <w:r>
        <w:rPr>
          <w:rFonts w:hint="eastAsia" w:ascii="仿宋_GB2312" w:hAnsi="仿宋_GB2312" w:eastAsia="仿宋_GB2312" w:cs="仿宋_GB2312"/>
          <w:b/>
          <w:bCs/>
          <w:sz w:val="32"/>
          <w:szCs w:val="32"/>
          <w:highlight w:val="none"/>
          <w:lang w:val="en-US" w:eastAsia="zh-CN"/>
        </w:rPr>
        <w:t>11</w:t>
      </w:r>
      <w:r>
        <w:rPr>
          <w:rFonts w:hint="eastAsia" w:ascii="仿宋_GB2312" w:hAnsi="仿宋_GB2312" w:eastAsia="仿宋_GB2312" w:cs="仿宋_GB2312"/>
          <w:b/>
          <w:bCs/>
          <w:sz w:val="32"/>
          <w:szCs w:val="32"/>
          <w:highlight w:val="none"/>
          <w:lang w:eastAsia="zh-CN"/>
        </w:rPr>
        <w:t>行政事业单位医疗（款）</w:t>
      </w:r>
      <w:r>
        <w:rPr>
          <w:rFonts w:hint="eastAsia" w:ascii="仿宋_GB2312" w:hAnsi="仿宋_GB2312" w:eastAsia="仿宋_GB2312" w:cs="仿宋_GB2312"/>
          <w:b/>
          <w:bCs/>
          <w:sz w:val="32"/>
          <w:szCs w:val="32"/>
          <w:highlight w:val="none"/>
          <w:lang w:val="en-US" w:eastAsia="zh-CN"/>
        </w:rPr>
        <w:t>01</w:t>
      </w:r>
      <w:r>
        <w:rPr>
          <w:rFonts w:hint="eastAsia" w:ascii="仿宋_GB2312" w:hAnsi="仿宋_GB2312" w:eastAsia="仿宋_GB2312" w:cs="仿宋_GB2312"/>
          <w:b/>
          <w:bCs/>
          <w:sz w:val="32"/>
          <w:szCs w:val="32"/>
          <w:highlight w:val="none"/>
        </w:rPr>
        <w:t>行政单位医疗</w:t>
      </w:r>
      <w:r>
        <w:rPr>
          <w:rFonts w:hint="eastAsia" w:ascii="仿宋_GB2312" w:hAnsi="仿宋_GB2312" w:eastAsia="仿宋_GB2312" w:cs="仿宋_GB2312"/>
          <w:b/>
          <w:bCs/>
          <w:sz w:val="32"/>
          <w:szCs w:val="32"/>
          <w:highlight w:val="none"/>
          <w:lang w:eastAsia="zh-CN"/>
        </w:rPr>
        <w:t>（项）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3.46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3.56</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102.89</w:t>
      </w:r>
      <w:r>
        <w:rPr>
          <w:rFonts w:hint="eastAsia" w:ascii="仿宋_GB2312" w:hAnsi="仿宋_GB2312" w:eastAsia="仿宋_GB2312" w:cs="仿宋_GB2312"/>
          <w:sz w:val="32"/>
          <w:szCs w:val="32"/>
          <w:highlight w:val="none"/>
        </w:rPr>
        <w:t>%。决算数与年初预算数存在差异的主要</w:t>
      </w:r>
      <w:r>
        <w:rPr>
          <w:rFonts w:hint="eastAsia" w:ascii="仿宋_GB2312" w:hAnsi="仿宋_GB2312" w:eastAsia="仿宋_GB2312" w:cs="仿宋_GB2312"/>
          <w:sz w:val="32"/>
          <w:szCs w:val="32"/>
          <w:highlight w:val="none"/>
          <w:lang w:eastAsia="zh-CN"/>
        </w:rPr>
        <w:t>原因是年中部门人员缴费基数调整。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5.210</w:t>
      </w:r>
      <w:r>
        <w:rPr>
          <w:rFonts w:hint="eastAsia" w:ascii="仿宋_GB2312" w:hAnsi="仿宋_GB2312" w:eastAsia="仿宋_GB2312" w:cs="仿宋_GB2312"/>
          <w:b/>
          <w:bCs/>
          <w:sz w:val="32"/>
          <w:szCs w:val="32"/>
          <w:highlight w:val="none"/>
          <w:lang w:eastAsia="zh-CN"/>
        </w:rPr>
        <w:t>卫生健康支出（类）</w:t>
      </w:r>
      <w:r>
        <w:rPr>
          <w:rFonts w:hint="eastAsia" w:ascii="仿宋_GB2312" w:hAnsi="仿宋_GB2312" w:eastAsia="仿宋_GB2312" w:cs="仿宋_GB2312"/>
          <w:b/>
          <w:bCs/>
          <w:sz w:val="32"/>
          <w:szCs w:val="32"/>
          <w:highlight w:val="none"/>
          <w:lang w:val="en-US" w:eastAsia="zh-CN"/>
        </w:rPr>
        <w:t>11</w:t>
      </w:r>
      <w:r>
        <w:rPr>
          <w:rFonts w:hint="eastAsia" w:ascii="仿宋_GB2312" w:hAnsi="仿宋_GB2312" w:eastAsia="仿宋_GB2312" w:cs="仿宋_GB2312"/>
          <w:b/>
          <w:bCs/>
          <w:sz w:val="32"/>
          <w:szCs w:val="32"/>
          <w:highlight w:val="none"/>
          <w:lang w:eastAsia="zh-CN"/>
        </w:rPr>
        <w:t>行政事业单位医疗（款）</w:t>
      </w:r>
      <w:r>
        <w:rPr>
          <w:rFonts w:hint="eastAsia" w:ascii="仿宋_GB2312" w:hAnsi="仿宋_GB2312" w:eastAsia="仿宋_GB2312" w:cs="仿宋_GB2312"/>
          <w:b/>
          <w:bCs/>
          <w:sz w:val="32"/>
          <w:szCs w:val="32"/>
          <w:highlight w:val="none"/>
          <w:lang w:val="en-US" w:eastAsia="zh-CN"/>
        </w:rPr>
        <w:t>03</w:t>
      </w:r>
      <w:r>
        <w:rPr>
          <w:rFonts w:hint="eastAsia" w:ascii="仿宋_GB2312" w:hAnsi="仿宋_GB2312" w:eastAsia="仿宋_GB2312" w:cs="仿宋_GB2312"/>
          <w:b/>
          <w:bCs/>
          <w:sz w:val="32"/>
          <w:szCs w:val="32"/>
          <w:highlight w:val="none"/>
        </w:rPr>
        <w:t>公务员医疗补助</w:t>
      </w:r>
      <w:r>
        <w:rPr>
          <w:rFonts w:hint="eastAsia" w:ascii="仿宋_GB2312" w:hAnsi="仿宋_GB2312" w:eastAsia="仿宋_GB2312" w:cs="仿宋_GB2312"/>
          <w:b/>
          <w:bCs/>
          <w:sz w:val="32"/>
          <w:szCs w:val="32"/>
          <w:highlight w:val="none"/>
          <w:lang w:eastAsia="zh-CN"/>
        </w:rPr>
        <w:t>（项）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3.46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3.56</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102.89</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eastAsia="zh-CN"/>
        </w:rPr>
        <w:t>年中部门人员缴费基数调整</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211（类）节能环保支出0</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环境保护管理事务</w:t>
      </w:r>
      <w:r>
        <w:rPr>
          <w:rFonts w:hint="eastAsia" w:ascii="仿宋_GB2312" w:hAnsi="仿宋_GB2312" w:eastAsia="仿宋_GB2312" w:cs="仿宋_GB2312"/>
          <w:b/>
          <w:bCs/>
          <w:sz w:val="32"/>
          <w:szCs w:val="32"/>
          <w:lang w:val="en-US" w:eastAsia="zh-CN"/>
        </w:rPr>
        <w:t>01</w:t>
      </w:r>
      <w:r>
        <w:rPr>
          <w:rFonts w:hint="eastAsia" w:ascii="仿宋_GB2312" w:hAnsi="仿宋_GB2312" w:eastAsia="仿宋_GB2312" w:cs="仿宋_GB2312"/>
          <w:b/>
          <w:bCs/>
          <w:sz w:val="32"/>
          <w:szCs w:val="32"/>
        </w:rPr>
        <w:t>（项）</w:t>
      </w:r>
      <w:r>
        <w:rPr>
          <w:rFonts w:hint="eastAsia" w:ascii="仿宋_GB2312" w:hAnsi="仿宋_GB2312" w:eastAsia="仿宋_GB2312" w:cs="仿宋_GB2312"/>
          <w:b/>
          <w:bCs/>
          <w:sz w:val="32"/>
          <w:szCs w:val="32"/>
          <w:lang w:eastAsia="zh-CN"/>
        </w:rPr>
        <w:t>行政运行</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134.3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188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139.99</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highlight w:val="none"/>
          <w:lang w:eastAsia="zh-CN"/>
        </w:rPr>
        <w:t>部门及人员调整</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spacing w:line="590" w:lineRule="exact"/>
        <w:ind w:firstLine="643"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211（类）节能环保支出0</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环境保护管理事务</w:t>
      </w:r>
      <w:r>
        <w:rPr>
          <w:rFonts w:hint="eastAsia" w:ascii="仿宋_GB2312" w:hAnsi="仿宋_GB2312" w:eastAsia="仿宋_GB2312" w:cs="仿宋_GB2312"/>
          <w:b/>
          <w:bCs/>
          <w:sz w:val="32"/>
          <w:szCs w:val="32"/>
          <w:lang w:val="en-US" w:eastAsia="zh-CN"/>
        </w:rPr>
        <w:t>01</w:t>
      </w:r>
      <w:r>
        <w:rPr>
          <w:rFonts w:hint="eastAsia" w:ascii="仿宋_GB2312" w:hAnsi="仿宋_GB2312" w:eastAsia="仿宋_GB2312" w:cs="仿宋_GB2312"/>
          <w:b/>
          <w:bCs/>
          <w:sz w:val="32"/>
          <w:szCs w:val="32"/>
        </w:rPr>
        <w:t>（项）</w:t>
      </w:r>
      <w:r>
        <w:rPr>
          <w:rFonts w:hint="eastAsia" w:ascii="仿宋_GB2312" w:hAnsi="仿宋_GB2312" w:eastAsia="仿宋_GB2312" w:cs="仿宋_GB2312"/>
          <w:b/>
          <w:bCs/>
          <w:sz w:val="32"/>
          <w:szCs w:val="32"/>
          <w:lang w:eastAsia="zh-CN"/>
        </w:rPr>
        <w:t>其他环境保护管理事务支出</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28.66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25.17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87.82</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highlight w:val="none"/>
          <w:lang w:eastAsia="zh-CN"/>
        </w:rPr>
        <w:t>部门及人员调整</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211（类）节能环保支出02（款）环境监测与监察99（项）其他环境监测与监察支出。</w:t>
      </w:r>
      <w:r>
        <w:rPr>
          <w:rFonts w:hint="eastAsia" w:ascii="仿宋_GB2312" w:hAnsi="仿宋_GB2312" w:eastAsia="仿宋_GB2312" w:cs="仿宋_GB2312"/>
          <w:sz w:val="32"/>
          <w:szCs w:val="32"/>
        </w:rPr>
        <w:t>年初预算为260万元，支出决算为94.68万元，完成年初预算的36.42%。决算数与年初预算数存在差异的主要原因是空气质量站点设备未发生故障，未产生维修维护费用。</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211（类）节能环保支出</w:t>
      </w: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污染减排</w:t>
      </w:r>
      <w:r>
        <w:rPr>
          <w:rFonts w:hint="eastAsia" w:ascii="仿宋_GB2312" w:hAnsi="仿宋_GB2312" w:eastAsia="仿宋_GB2312" w:cs="仿宋_GB2312"/>
          <w:b/>
          <w:bCs/>
          <w:sz w:val="32"/>
          <w:szCs w:val="32"/>
          <w:lang w:val="en-US" w:eastAsia="zh-CN"/>
        </w:rPr>
        <w:t>01</w:t>
      </w:r>
      <w:r>
        <w:rPr>
          <w:rFonts w:hint="eastAsia" w:ascii="仿宋_GB2312" w:hAnsi="仿宋_GB2312" w:eastAsia="仿宋_GB2312" w:cs="仿宋_GB2312"/>
          <w:b/>
          <w:bCs/>
          <w:sz w:val="32"/>
          <w:szCs w:val="32"/>
        </w:rPr>
        <w:t>（项）</w:t>
      </w:r>
      <w:r>
        <w:rPr>
          <w:rFonts w:hint="eastAsia" w:ascii="仿宋_GB2312" w:hAnsi="仿宋_GB2312" w:eastAsia="仿宋_GB2312" w:cs="仿宋_GB2312"/>
          <w:b/>
          <w:bCs/>
          <w:sz w:val="32"/>
          <w:szCs w:val="32"/>
          <w:lang w:eastAsia="zh-CN"/>
        </w:rPr>
        <w:t>环境监测与信息</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4.24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21.2</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实际发生的环保监测费用较少</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10.215（类）资源勘探信息等支出06（款）安全生产监管01（项）行政运行。</w:t>
      </w:r>
      <w:r>
        <w:rPr>
          <w:rFonts w:hint="eastAsia" w:ascii="仿宋_GB2312" w:hAnsi="仿宋_GB2312" w:eastAsia="仿宋_GB2312" w:cs="仿宋_GB2312"/>
          <w:b w:val="0"/>
          <w:bCs w:val="0"/>
          <w:sz w:val="32"/>
          <w:szCs w:val="32"/>
          <w:lang w:val="en-US" w:eastAsia="zh-CN"/>
        </w:rPr>
        <w:t>年初预算为0万元，支出决算为0.17万元。决算数与年初预算数存在差异的主要原因是相关业务办公费增加。</w:t>
      </w:r>
    </w:p>
    <w:p>
      <w:pPr>
        <w:widowControl/>
        <w:spacing w:line="590" w:lineRule="exact"/>
        <w:ind w:firstLine="964"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rPr>
        <w:t>21</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资源勘探信息等</w:t>
      </w:r>
      <w:r>
        <w:rPr>
          <w:rFonts w:hint="eastAsia" w:ascii="仿宋_GB2312" w:hAnsi="仿宋_GB2312" w:eastAsia="仿宋_GB2312" w:cs="仿宋_GB2312"/>
          <w:b/>
          <w:bCs/>
          <w:sz w:val="32"/>
          <w:szCs w:val="32"/>
        </w:rPr>
        <w:t>支出</w:t>
      </w:r>
      <w:r>
        <w:rPr>
          <w:rFonts w:hint="eastAsia" w:ascii="仿宋_GB2312" w:hAnsi="仿宋_GB2312" w:eastAsia="仿宋_GB2312" w:cs="仿宋_GB2312"/>
          <w:b/>
          <w:bCs/>
          <w:sz w:val="32"/>
          <w:szCs w:val="32"/>
          <w:lang w:val="en-US" w:eastAsia="zh-CN"/>
        </w:rPr>
        <w:t>06</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安全生产监管</w:t>
      </w:r>
      <w:r>
        <w:rPr>
          <w:rFonts w:hint="eastAsia" w:ascii="仿宋_GB2312" w:hAnsi="仿宋_GB2312" w:eastAsia="仿宋_GB2312" w:cs="仿宋_GB2312"/>
          <w:b/>
          <w:bCs/>
          <w:sz w:val="32"/>
          <w:szCs w:val="32"/>
          <w:lang w:val="en-US" w:eastAsia="zh-CN"/>
        </w:rPr>
        <w:t>01</w:t>
      </w:r>
      <w:r>
        <w:rPr>
          <w:rFonts w:hint="eastAsia" w:ascii="仿宋_GB2312" w:hAnsi="仿宋_GB2312" w:eastAsia="仿宋_GB2312" w:cs="仿宋_GB2312"/>
          <w:b/>
          <w:bCs/>
          <w:sz w:val="32"/>
          <w:szCs w:val="32"/>
        </w:rPr>
        <w:t>（项）其他</w:t>
      </w:r>
      <w:r>
        <w:rPr>
          <w:rFonts w:hint="eastAsia" w:ascii="仿宋_GB2312" w:hAnsi="仿宋_GB2312" w:eastAsia="仿宋_GB2312" w:cs="仿宋_GB2312"/>
          <w:b/>
          <w:bCs/>
          <w:sz w:val="32"/>
          <w:szCs w:val="32"/>
          <w:lang w:eastAsia="zh-CN"/>
        </w:rPr>
        <w:t>安全生产监管</w:t>
      </w:r>
      <w:r>
        <w:rPr>
          <w:rFonts w:hint="eastAsia" w:ascii="仿宋_GB2312" w:hAnsi="仿宋_GB2312" w:eastAsia="仿宋_GB2312" w:cs="仿宋_GB2312"/>
          <w:b/>
          <w:bCs/>
          <w:sz w:val="32"/>
          <w:szCs w:val="32"/>
        </w:rPr>
        <w:t>支出。</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12.04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16.74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139.04</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highlight w:val="none"/>
          <w:lang w:eastAsia="zh-CN"/>
        </w:rPr>
        <w:t>部门及人员调整</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numPr>
          <w:ilvl w:val="0"/>
          <w:numId w:val="3"/>
        </w:numPr>
        <w:ind w:left="640" w:leftChars="0" w:firstLine="0" w:firstLineChars="0"/>
        <w:rPr>
          <w:rFonts w:hint="eastAsia" w:ascii="黑体" w:hAnsi="黑体" w:eastAsia="黑体" w:cs="黑体"/>
          <w:sz w:val="32"/>
          <w:szCs w:val="32"/>
        </w:rPr>
      </w:pPr>
      <w:r>
        <w:rPr>
          <w:rFonts w:hint="eastAsia" w:ascii="黑体" w:hAnsi="黑体" w:eastAsia="黑体" w:cs="黑体"/>
          <w:sz w:val="32"/>
          <w:szCs w:val="32"/>
        </w:rPr>
        <w:t>一般公共预算财政拨款基本支出决算情况说明</w:t>
      </w:r>
    </w:p>
    <w:p>
      <w:pPr>
        <w:pStyle w:val="2"/>
        <w:numPr>
          <w:ilvl w:val="0"/>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一般公共预算财政拨款基本支出229.88万元。其中：人员经费222.43万元，主要包括：基本工资、机关事业单位基本养老保险缴费、职业年金缴费、其他社会保障缴费、住房公积金；公用经费7.45万元，主要包括：商品和服务支出、办公费、印刷费、手续费、差旅费、维修（护）费、租赁费、公务接待费、委托业务费、工会经费、福利费、公务用车运行维护费、其他商品和服务支出、办公设备购置。</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三公”经费财政拨款支出预算为2.5万元，支出决算为1.57万元，完成预算的62.8%。2018年度“三公”经费支出决算数与预算数存在差异的主要原因是公车改革后，公务用车分配时间为2018年6月，使用时间短，支出费用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三公”经费财政拨款支出决算中，因公出国（境）费支出决算0万元，完成预算的0%，占0%；公务用车购置及运行费支出决算1.32万元，完成预算的77.65%，占84.08%；公务接待费支出决算0.24万元，完成预算的30%，占15.29%。具体情况如下：</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年初预算为0万元，支出决算为0万元，完成年初预算的0%。</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rPr>
        <w:t>初预算为1.7万元，支出决算为1.32万元，完成年初预算的77.65%。决算数与年初预算数存在差异的主要原因是公车改革后，公务用车分配时间为2018年6月，使用时间短，支出费用低。其中：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为0万元。</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1.32万元。主要用于燃料费及车辆维修维护。2018年期末，部门开支财政拨款的公务用车保有量为1辆。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rPr>
        <w:t>初预算为0.8万元，支出决算为0.24万元，完成年初预算的30%。决算数与年初预算数存在差异的主要原因是公务接待批次有所减少。其中：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0.32万元。主要用于督导检查、调研交流等公务接待。2018年共接待国内来访团组7个、来宾47人次（不包括陪同人员）。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590" w:lineRule="exact"/>
        <w:ind w:firstLine="640" w:firstLineChars="200"/>
        <w:rPr>
          <w:rFonts w:hint="eastAsia" w:ascii="仿宋_GB2312" w:hAnsi="宋体" w:eastAsia="仿宋_GB2312" w:cs="Courier New"/>
          <w:sz w:val="32"/>
          <w:szCs w:val="32"/>
        </w:rPr>
      </w:pPr>
      <w:r>
        <w:rPr>
          <w:rFonts w:hint="eastAsia" w:ascii="仿宋_GB2312" w:eastAsia="仿宋_GB2312"/>
          <w:sz w:val="32"/>
          <w:szCs w:val="32"/>
        </w:rPr>
        <w:t>安环局</w:t>
      </w:r>
      <w:r>
        <w:rPr>
          <w:rFonts w:ascii="仿宋_GB2312" w:hAnsi="宋体" w:eastAsia="仿宋_GB2312" w:cs="Courier New"/>
          <w:sz w:val="32"/>
          <w:szCs w:val="32"/>
        </w:rPr>
        <w:t>201</w:t>
      </w:r>
      <w:r>
        <w:rPr>
          <w:rFonts w:hint="eastAsia" w:ascii="仿宋_GB2312" w:hAnsi="宋体" w:eastAsia="仿宋_GB2312" w:cs="Courier New"/>
          <w:sz w:val="32"/>
          <w:szCs w:val="32"/>
        </w:rPr>
        <w:t>8年一般公共预算安排支出主要用于保障机关正常运转、完成日常工作以及承担安全监管、节能环保等相关工作。</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宋体" w:eastAsia="仿宋_GB2312" w:cs="Courier New"/>
          <w:sz w:val="32"/>
          <w:szCs w:val="32"/>
        </w:rPr>
        <w:t>资金管理实行专人管理、专款专用，建立严格的内控制度，报账员、财务分管领导、部门主要领导等多层监督，严格按进度及时拨付资金，建设成效及资金使用效益达到了较好的预期效果。</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widowControl/>
        <w:spacing w:line="59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（1）安全生产方面。开展了安全生产评先评优活动，组织</w:t>
      </w:r>
      <w:r>
        <w:rPr>
          <w:rFonts w:hint="eastAsia" w:ascii="仿宋" w:hAnsi="仿宋" w:eastAsia="仿宋"/>
          <w:sz w:val="32"/>
          <w:szCs w:val="32"/>
        </w:rPr>
        <w:t>开展安全生产月宣传活动，同时扎实开展安全生产隐患排查治理等专项行动，推进双重预防机制构建，开展企业安全风险评估工作。</w:t>
      </w:r>
    </w:p>
    <w:p>
      <w:pPr>
        <w:widowControl/>
        <w:spacing w:line="590" w:lineRule="exact"/>
        <w:ind w:firstLine="640" w:firstLineChars="200"/>
        <w:rPr>
          <w:rFonts w:hint="eastAsia" w:ascii="仿宋" w:hAnsi="仿宋" w:eastAsia="仿宋"/>
          <w:sz w:val="32"/>
          <w:szCs w:val="32"/>
        </w:rPr>
      </w:pPr>
      <w:r>
        <w:rPr>
          <w:rFonts w:hint="eastAsia" w:ascii="仿宋" w:hAnsi="仿宋" w:eastAsia="仿宋"/>
          <w:sz w:val="32"/>
          <w:szCs w:val="32"/>
        </w:rPr>
        <w:t>（2）环境保护方面。扎实推进大气、水、土壤污染防治三大攻坚战，重点做好工地扬尘、道路扬尘、“小散乱污”整治、工业及涉水企业治理等，加强环境执法，确保环境安全。</w:t>
      </w:r>
    </w:p>
    <w:p>
      <w:pPr>
        <w:widowControl/>
        <w:spacing w:line="590" w:lineRule="exact"/>
        <w:ind w:firstLine="643" w:firstLineChars="200"/>
        <w:outlineLvl w:val="2"/>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（三）重点绩效评价结果</w:t>
      </w:r>
    </w:p>
    <w:p>
      <w:pPr>
        <w:widowControl/>
        <w:spacing w:line="59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本年度预算绩效目标完成度较好，预算执行率</w:t>
      </w:r>
      <w:r>
        <w:rPr>
          <w:rFonts w:hint="eastAsia" w:ascii="仿宋" w:hAnsi="仿宋" w:eastAsia="仿宋"/>
          <w:sz w:val="32"/>
          <w:szCs w:val="32"/>
          <w:lang w:val="en-US" w:eastAsia="zh-CN"/>
        </w:rPr>
        <w:t>≥90%，预算调整率≤10%，“三公经费”控制率≥90%，政府采购执行率≥90%，资金使用合规，管理制度健全。服务对象满意度≥95%。</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2018年度政府性基金预算财政拨款支出年初预算为0万元，支出决算为0万元，完成年初预算的0%。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2018年度机关运行经费</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rPr>
        <w:t>初预算为7.65万元，支出决算为7.45万元，完成年初预算的97.39%。决算数与年初预算数存在差异的主要原因是公务用车运行维护费支出低。</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政府采购支出总额72.25万元，其中：政府采购货物支出5.53万元、政府采购工程支出0万元、政府采购服务支出66.72万元。授予中小企业合同金额71.09万元，占政府采购支出总额的98.39%，其中：授予小微企业合同金额1.16万元，占政府采购支出总额的1.61%。</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期末，我部门共有车辆1辆，其中：省级领导干部用车0辆、主要领导干部用车0辆、机要通信用车0辆、应急保障车0辆、执法执勤用车1辆、特种专业技术用车0辆、离退休干部用车0辆、其他用车0辆；单位价值50万元以上通用设备0台（套），单位价值100万元以上专用设备0台（套）。</w:t>
      </w:r>
    </w:p>
    <w:p>
      <w:pPr>
        <w:widowControl/>
        <w:jc w:val="left"/>
        <w:rPr>
          <w:rFonts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- 18 -</w:t>
                          </w:r>
                          <w:r>
                            <w:rPr>
                              <w:rFonts w:hint="eastAsia"/>
                              <w:sz w:val="18"/>
                            </w:rPr>
                            <w:fldChar w:fldCharType="end"/>
                          </w:r>
                        </w:p>
                      </w:txbxContent>
                    </wps:txbx>
                    <wps:bodyPr wrap="none" lIns="0" tIns="0" rIns="0" bIns="0" upright="1">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O7QDM6/AQAAZQMAAA4AAAAAAAAAAQAgAAAAHgEAAGRycy9lMm9Eb2MueG1sUEsFBgAA&#10;AAAGAAYAWQEAAE8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- 18 -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FcxAYi/AQAAZQMAAA4AAAAAAAAAAQAgAAAAHgEAAGRycy9lMm9Eb2MueG1sUEsFBgAA&#10;AAAGAAYAWQEAAE8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1">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K9MrYq/AQAAZgMAAA4AAAAAAAAAAQAgAAAAHgEAAGRycy9lMm9Eb2MueG1sUEsFBgAA&#10;AAAGAAYAWQEAAE8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F698C"/>
    <w:multiLevelType w:val="singleLevel"/>
    <w:tmpl w:val="2E5F698C"/>
    <w:lvl w:ilvl="0" w:tentative="0">
      <w:start w:val="6"/>
      <w:numFmt w:val="chineseCounting"/>
      <w:suff w:val="nothing"/>
      <w:lvlText w:val="%1、"/>
      <w:lvlJc w:val="left"/>
      <w:pPr>
        <w:ind w:left="640" w:leftChars="0" w:firstLine="0" w:firstLineChars="0"/>
      </w:pPr>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abstractNum w:abstractNumId="2">
    <w:nsid w:val="5D0C3EDF"/>
    <w:multiLevelType w:val="singleLevel"/>
    <w:tmpl w:val="5D0C3EDF"/>
    <w:lvl w:ilvl="0" w:tentative="0">
      <w:start w:val="2"/>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16"/>
    <w:rsid w:val="0009792D"/>
    <w:rsid w:val="000E7CD2"/>
    <w:rsid w:val="000F55FC"/>
    <w:rsid w:val="00121B4E"/>
    <w:rsid w:val="00174469"/>
    <w:rsid w:val="00182CE4"/>
    <w:rsid w:val="001C57CA"/>
    <w:rsid w:val="00225688"/>
    <w:rsid w:val="002A26F1"/>
    <w:rsid w:val="0033225A"/>
    <w:rsid w:val="00384ECA"/>
    <w:rsid w:val="003D2AC5"/>
    <w:rsid w:val="004C3316"/>
    <w:rsid w:val="005F2FE7"/>
    <w:rsid w:val="00605F28"/>
    <w:rsid w:val="006A53B1"/>
    <w:rsid w:val="007B6209"/>
    <w:rsid w:val="007D15E6"/>
    <w:rsid w:val="008B4992"/>
    <w:rsid w:val="008F3325"/>
    <w:rsid w:val="00916D02"/>
    <w:rsid w:val="00982F3A"/>
    <w:rsid w:val="00AA129D"/>
    <w:rsid w:val="00AE4FE6"/>
    <w:rsid w:val="00B67A23"/>
    <w:rsid w:val="00B67C24"/>
    <w:rsid w:val="00C21040"/>
    <w:rsid w:val="00C212D7"/>
    <w:rsid w:val="00C84A51"/>
    <w:rsid w:val="00C85E1E"/>
    <w:rsid w:val="00C8676E"/>
    <w:rsid w:val="00D60BD4"/>
    <w:rsid w:val="00DA43EB"/>
    <w:rsid w:val="00DA52D1"/>
    <w:rsid w:val="00E12CDC"/>
    <w:rsid w:val="00E21AF3"/>
    <w:rsid w:val="00F213E3"/>
    <w:rsid w:val="00FC0ED9"/>
    <w:rsid w:val="06031054"/>
    <w:rsid w:val="09A174FF"/>
    <w:rsid w:val="122933E0"/>
    <w:rsid w:val="13A377C7"/>
    <w:rsid w:val="17A33BB6"/>
    <w:rsid w:val="21813ABE"/>
    <w:rsid w:val="23354C2A"/>
    <w:rsid w:val="239A19C1"/>
    <w:rsid w:val="23FE071D"/>
    <w:rsid w:val="2B590DFE"/>
    <w:rsid w:val="46003920"/>
    <w:rsid w:val="49C32DCC"/>
    <w:rsid w:val="514F24F0"/>
    <w:rsid w:val="518B569E"/>
    <w:rsid w:val="55225A07"/>
    <w:rsid w:val="560D5B89"/>
    <w:rsid w:val="5A081C1D"/>
    <w:rsid w:val="5A311235"/>
    <w:rsid w:val="5D1A58FA"/>
    <w:rsid w:val="6C693775"/>
    <w:rsid w:val="6ED837F7"/>
    <w:rsid w:val="6F9240E2"/>
    <w:rsid w:val="6FE94721"/>
    <w:rsid w:val="764A37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annotation text"/>
    <w:basedOn w:val="1"/>
    <w:link w:val="27"/>
    <w:unhideWhenUsed/>
    <w:qFormat/>
    <w:uiPriority w:val="99"/>
    <w:pPr>
      <w:jc w:val="left"/>
    </w:pPr>
  </w:style>
  <w:style w:type="paragraph" w:styleId="5">
    <w:name w:val="Balloon Text"/>
    <w:basedOn w:val="1"/>
    <w:link w:val="26"/>
    <w:unhideWhenUsed/>
    <w:qFormat/>
    <w:uiPriority w:val="99"/>
    <w:rPr>
      <w:rFonts w:asciiTheme="minorHAnsi" w:hAnsiTheme="minorHAnsi" w:eastAsiaTheme="minorEastAsia" w:cstheme="minorBidi"/>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5"/>
    <w:unhideWhenUsed/>
    <w:qFormat/>
    <w:uiPriority w:val="99"/>
    <w:pPr>
      <w:snapToGrid w:val="0"/>
      <w:jc w:val="left"/>
    </w:pPr>
    <w:rPr>
      <w:sz w:val="18"/>
    </w:rPr>
  </w:style>
  <w:style w:type="character" w:styleId="10">
    <w:name w:val="FollowedHyperlink"/>
    <w:unhideWhenUsed/>
    <w:qFormat/>
    <w:uiPriority w:val="99"/>
    <w:rPr>
      <w:color w:val="800080"/>
      <w:u w:val="single"/>
    </w:rPr>
  </w:style>
  <w:style w:type="character" w:styleId="11">
    <w:name w:val="Hyperlink"/>
    <w:unhideWhenUsed/>
    <w:qFormat/>
    <w:uiPriority w:val="99"/>
    <w:rPr>
      <w:color w:val="0000FF"/>
      <w:u w:val="single"/>
    </w:rPr>
  </w:style>
  <w:style w:type="character" w:styleId="12">
    <w:name w:val="annotation reference"/>
    <w:basedOn w:val="9"/>
    <w:semiHidden/>
    <w:unhideWhenUsed/>
    <w:qFormat/>
    <w:uiPriority w:val="99"/>
    <w:rPr>
      <w:sz w:val="21"/>
      <w:szCs w:val="21"/>
    </w:rPr>
  </w:style>
  <w:style w:type="character" w:styleId="13">
    <w:name w:val="footnote reference"/>
    <w:basedOn w:val="9"/>
    <w:unhideWhenUsed/>
    <w:qFormat/>
    <w:uiPriority w:val="99"/>
    <w:rPr>
      <w:vertAlign w:val="superscript"/>
    </w:rPr>
  </w:style>
  <w:style w:type="table" w:styleId="15">
    <w:name w:val="Table Grid"/>
    <w:basedOn w:val="14"/>
    <w:qFormat/>
    <w:uiPriority w:val="5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9"/>
    <w:link w:val="7"/>
    <w:qFormat/>
    <w:uiPriority w:val="99"/>
    <w:rPr>
      <w:sz w:val="18"/>
      <w:szCs w:val="18"/>
    </w:rPr>
  </w:style>
  <w:style w:type="character" w:customStyle="1" w:styleId="17">
    <w:name w:val="页脚 Char"/>
    <w:basedOn w:val="9"/>
    <w:link w:val="6"/>
    <w:qFormat/>
    <w:uiPriority w:val="99"/>
    <w:rPr>
      <w:sz w:val="18"/>
      <w:szCs w:val="18"/>
    </w:rPr>
  </w:style>
  <w:style w:type="character" w:customStyle="1" w:styleId="18">
    <w:name w:val="标题 1 Char"/>
    <w:basedOn w:val="9"/>
    <w:link w:val="3"/>
    <w:qFormat/>
    <w:uiPriority w:val="9"/>
    <w:rPr>
      <w:rFonts w:ascii="Calibri" w:hAnsi="Calibri" w:eastAsia="宋体" w:cs="Times New Roman"/>
      <w:b/>
      <w:bCs/>
      <w:kern w:val="44"/>
      <w:sz w:val="44"/>
      <w:szCs w:val="44"/>
    </w:rPr>
  </w:style>
  <w:style w:type="character" w:customStyle="1" w:styleId="19">
    <w:name w:val="font51"/>
    <w:basedOn w:val="9"/>
    <w:qFormat/>
    <w:uiPriority w:val="0"/>
    <w:rPr>
      <w:rFonts w:hint="eastAsia" w:ascii="宋体" w:hAnsi="宋体" w:eastAsia="宋体" w:cs="宋体"/>
      <w:color w:val="000000"/>
      <w:sz w:val="24"/>
      <w:szCs w:val="24"/>
      <w:u w:val="none"/>
    </w:rPr>
  </w:style>
  <w:style w:type="character" w:customStyle="1" w:styleId="20">
    <w:name w:val="font01"/>
    <w:basedOn w:val="9"/>
    <w:qFormat/>
    <w:uiPriority w:val="0"/>
    <w:rPr>
      <w:rFonts w:hint="eastAsia" w:ascii="宋体" w:hAnsi="宋体" w:eastAsia="宋体" w:cs="宋体"/>
      <w:color w:val="000000"/>
      <w:sz w:val="22"/>
      <w:szCs w:val="22"/>
      <w:u w:val="none"/>
    </w:rPr>
  </w:style>
  <w:style w:type="character" w:customStyle="1" w:styleId="21">
    <w:name w:val="font41"/>
    <w:basedOn w:val="9"/>
    <w:qFormat/>
    <w:uiPriority w:val="0"/>
    <w:rPr>
      <w:rFonts w:hint="eastAsia" w:ascii="宋体" w:hAnsi="宋体" w:eastAsia="宋体" w:cs="宋体"/>
      <w:color w:val="000000"/>
      <w:sz w:val="24"/>
      <w:szCs w:val="24"/>
      <w:u w:val="none"/>
    </w:rPr>
  </w:style>
  <w:style w:type="character" w:customStyle="1" w:styleId="22">
    <w:name w:val="批注框文本 Char"/>
    <w:basedOn w:val="9"/>
    <w:link w:val="5"/>
    <w:qFormat/>
    <w:uiPriority w:val="99"/>
    <w:rPr>
      <w:sz w:val="18"/>
      <w:szCs w:val="18"/>
    </w:rPr>
  </w:style>
  <w:style w:type="character" w:customStyle="1" w:styleId="23">
    <w:name w:val="font21"/>
    <w:basedOn w:val="9"/>
    <w:qFormat/>
    <w:uiPriority w:val="0"/>
    <w:rPr>
      <w:rFonts w:hint="eastAsia" w:ascii="宋体" w:hAnsi="宋体" w:eastAsia="宋体" w:cs="宋体"/>
      <w:color w:val="000000"/>
      <w:sz w:val="22"/>
      <w:szCs w:val="22"/>
      <w:u w:val="none"/>
    </w:rPr>
  </w:style>
  <w:style w:type="character" w:customStyle="1" w:styleId="24">
    <w:name w:val="font11"/>
    <w:basedOn w:val="9"/>
    <w:qFormat/>
    <w:uiPriority w:val="0"/>
    <w:rPr>
      <w:rFonts w:hint="eastAsia" w:ascii="宋体" w:hAnsi="宋体" w:eastAsia="宋体" w:cs="宋体"/>
      <w:color w:val="000000"/>
      <w:sz w:val="20"/>
      <w:szCs w:val="20"/>
      <w:u w:val="none"/>
    </w:rPr>
  </w:style>
  <w:style w:type="character" w:customStyle="1" w:styleId="25">
    <w:name w:val="脚注文本 Char"/>
    <w:basedOn w:val="9"/>
    <w:link w:val="8"/>
    <w:qFormat/>
    <w:uiPriority w:val="99"/>
    <w:rPr>
      <w:rFonts w:ascii="Calibri" w:hAnsi="Calibri" w:eastAsia="宋体" w:cs="Times New Roman"/>
      <w:sz w:val="18"/>
    </w:rPr>
  </w:style>
  <w:style w:type="character" w:customStyle="1" w:styleId="26">
    <w:name w:val="批注框文本 Char1"/>
    <w:basedOn w:val="9"/>
    <w:link w:val="5"/>
    <w:semiHidden/>
    <w:qFormat/>
    <w:uiPriority w:val="99"/>
    <w:rPr>
      <w:rFonts w:ascii="Calibri" w:hAnsi="Calibri" w:eastAsia="宋体" w:cs="Times New Roman"/>
      <w:sz w:val="18"/>
      <w:szCs w:val="18"/>
    </w:rPr>
  </w:style>
  <w:style w:type="character" w:customStyle="1" w:styleId="27">
    <w:name w:val="批注文字 Char"/>
    <w:basedOn w:val="9"/>
    <w:link w:val="4"/>
    <w:qFormat/>
    <w:uiPriority w:val="99"/>
    <w:rPr>
      <w:rFonts w:ascii="Calibri" w:hAnsi="Calibri" w:eastAsia="宋体" w:cs="Times New Roman"/>
    </w:rPr>
  </w:style>
  <w:style w:type="paragraph" w:customStyle="1" w:styleId="28">
    <w:name w:val="标题1"/>
    <w:basedOn w:val="3"/>
    <w:qFormat/>
    <w:uiPriority w:val="0"/>
    <w:pPr>
      <w:spacing w:before="0" w:after="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11D020-3275-4924-875D-DD808692906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744</Words>
  <Characters>4245</Characters>
  <Lines>35</Lines>
  <Paragraphs>9</Paragraphs>
  <TotalTime>1</TotalTime>
  <ScaleCrop>false</ScaleCrop>
  <LinksUpToDate>false</LinksUpToDate>
  <CharactersWithSpaces>4980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2019-09-04T02:28:00Z</dcterms:created>
  <dc:creator>PC</dc:creator>
  <cp:lastModifiedBy>lenovo</cp:lastModifiedBy>
  <cp:lastPrinted>2021-05-24T09:15:00Z</cp:lastPrinted>
  <dcterms:modified xsi:type="dcterms:W3CDTF">2021-06-02T07:52:49Z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86FA9013E5D642C8A024E784282CA35F</vt:lpwstr>
  </property>
</Properties>
</file>