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color w:val="auto"/>
          <w:sz w:val="52"/>
          <w:szCs w:val="52"/>
          <w:highlight w:val="none"/>
          <w:lang w:val="en-US" w:eastAsia="zh-CN"/>
        </w:rPr>
      </w:pPr>
    </w:p>
    <w:p>
      <w:pPr>
        <w:jc w:val="both"/>
        <w:rPr>
          <w:rFonts w:hint="eastAsia" w:ascii="黑体" w:hAnsi="黑体" w:eastAsia="黑体" w:cs="黑体"/>
          <w:color w:val="auto"/>
          <w:sz w:val="52"/>
          <w:szCs w:val="52"/>
          <w:highlight w:val="none"/>
          <w:lang w:val="en-US" w:eastAsia="zh-CN"/>
        </w:rPr>
      </w:pPr>
    </w:p>
    <w:p>
      <w:pPr>
        <w:jc w:val="both"/>
        <w:rPr>
          <w:rFonts w:hint="eastAsia" w:ascii="黑体" w:hAnsi="黑体" w:eastAsia="黑体" w:cs="黑体"/>
          <w:color w:val="auto"/>
          <w:sz w:val="52"/>
          <w:szCs w:val="52"/>
          <w:highlight w:val="none"/>
          <w:lang w:val="en-US" w:eastAsia="zh-CN"/>
        </w:rPr>
      </w:pPr>
    </w:p>
    <w:p>
      <w:pPr>
        <w:jc w:val="center"/>
        <w:rPr>
          <w:rFonts w:hint="eastAsia" w:ascii="黑体" w:hAnsi="黑体" w:eastAsia="黑体" w:cs="黑体"/>
          <w:color w:val="auto"/>
          <w:sz w:val="52"/>
          <w:szCs w:val="52"/>
          <w:highlight w:val="none"/>
          <w:lang w:val="en-US" w:eastAsia="zh-CN"/>
        </w:rPr>
      </w:pPr>
      <w:r>
        <w:rPr>
          <w:rFonts w:hint="eastAsia" w:ascii="黑体" w:hAnsi="黑体" w:eastAsia="黑体" w:cs="黑体"/>
          <w:color w:val="auto"/>
          <w:sz w:val="52"/>
          <w:szCs w:val="52"/>
          <w:highlight w:val="none"/>
          <w:lang w:val="en-US" w:eastAsia="zh-CN"/>
        </w:rPr>
        <w:t>新乡经济技术开发区管委会财政局</w:t>
      </w:r>
    </w:p>
    <w:p>
      <w:pPr>
        <w:ind w:left="2595" w:leftChars="988" w:hanging="520" w:hangingChars="100"/>
        <w:jc w:val="both"/>
        <w:rPr>
          <w:rFonts w:hint="eastAsia" w:ascii="黑体" w:hAnsi="黑体" w:eastAsia="黑体" w:cs="黑体"/>
          <w:color w:val="auto"/>
          <w:sz w:val="52"/>
          <w:szCs w:val="52"/>
          <w:highlight w:val="none"/>
        </w:rPr>
      </w:pPr>
      <w:r>
        <w:rPr>
          <w:rFonts w:hint="eastAsia" w:ascii="黑体" w:hAnsi="黑体" w:eastAsia="黑体" w:cs="黑体"/>
          <w:color w:val="auto"/>
          <w:sz w:val="52"/>
          <w:szCs w:val="52"/>
          <w:highlight w:val="none"/>
          <w:lang w:eastAsia="zh-CN"/>
        </w:rPr>
        <w:t>2018年度</w:t>
      </w:r>
      <w:r>
        <w:rPr>
          <w:rFonts w:hint="eastAsia" w:ascii="黑体" w:hAnsi="黑体" w:eastAsia="黑体" w:cs="黑体"/>
          <w:color w:val="auto"/>
          <w:sz w:val="52"/>
          <w:szCs w:val="52"/>
          <w:highlight w:val="none"/>
        </w:rPr>
        <w:t>部门决算</w:t>
      </w: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52"/>
          <w:szCs w:val="52"/>
          <w:highlight w:val="none"/>
        </w:rPr>
      </w:pPr>
    </w:p>
    <w:p>
      <w:pPr>
        <w:jc w:val="center"/>
        <w:rPr>
          <w:rFonts w:hint="eastAsia" w:ascii="黑体" w:hAnsi="黑体" w:eastAsia="黑体" w:cs="黑体"/>
          <w:color w:val="auto"/>
          <w:sz w:val="32"/>
          <w:szCs w:val="32"/>
          <w:highlight w:val="none"/>
          <w:lang w:eastAsia="zh-CN"/>
        </w:rPr>
        <w:sectPr>
          <w:pgSz w:w="11906" w:h="16838"/>
          <w:pgMar w:top="1440" w:right="1531" w:bottom="1440" w:left="1587" w:header="850" w:footer="992" w:gutter="0"/>
          <w:pgNumType w:fmt="numberInDash"/>
          <w:cols w:space="720" w:num="1"/>
          <w:rtlGutter w:val="0"/>
          <w:docGrid w:type="lines" w:linePitch="317" w:charSpace="0"/>
        </w:sectPr>
      </w:pPr>
      <w:r>
        <w:rPr>
          <w:rFonts w:hint="eastAsia" w:ascii="黑体" w:hAnsi="黑体" w:eastAsia="黑体" w:cs="黑体"/>
          <w:color w:val="auto"/>
          <w:sz w:val="32"/>
          <w:szCs w:val="32"/>
          <w:highlight w:val="none"/>
          <w:lang w:eastAsia="zh-CN"/>
        </w:rPr>
        <w:t>二〇一九年九月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w:t>
      </w:r>
      <w:r>
        <w:rPr>
          <w:rFonts w:hint="eastAsia" w:ascii="黑体" w:hAnsi="黑体" w:eastAsia="黑体" w:cs="黑体"/>
          <w:color w:val="auto"/>
          <w:sz w:val="32"/>
          <w:szCs w:val="32"/>
          <w:highlight w:val="none"/>
          <w:lang w:eastAsia="zh-CN"/>
        </w:rPr>
        <w:t>财政局</w:t>
      </w:r>
      <w:r>
        <w:rPr>
          <w:rFonts w:hint="eastAsia" w:ascii="黑体" w:hAnsi="黑体" w:eastAsia="黑体" w:cs="黑体"/>
          <w:color w:val="auto"/>
          <w:sz w:val="32"/>
          <w:szCs w:val="32"/>
          <w:highlight w:val="none"/>
        </w:rPr>
        <w:t>概况</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部门职责</w:t>
      </w:r>
    </w:p>
    <w:p>
      <w:pPr>
        <w:numPr>
          <w:ilvl w:val="0"/>
          <w:numId w:val="1"/>
        </w:num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一、收入支出决算总表</w:t>
      </w:r>
    </w:p>
    <w:p>
      <w:pPr>
        <w:ind w:firstLine="640" w:firstLineChars="200"/>
        <w:jc w:val="left"/>
        <w:rPr>
          <w:rFonts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七、一般公共预算财政拨款“三公”经费支出决算表</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八、政府性基金预算财政拨款收入支出决算表</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三</w:t>
      </w:r>
      <w:r>
        <w:rPr>
          <w:rFonts w:hint="eastAsia" w:ascii="黑体" w:hAnsi="黑体" w:eastAsia="黑体" w:cs="黑体"/>
          <w:color w:val="auto"/>
          <w:sz w:val="32"/>
          <w:szCs w:val="32"/>
          <w:highlight w:val="none"/>
        </w:rPr>
        <w:t>部分　　</w:t>
      </w:r>
      <w:r>
        <w:rPr>
          <w:rFonts w:hint="eastAsia" w:ascii="黑体" w:hAnsi="黑体" w:eastAsia="黑体" w:cs="黑体"/>
          <w:color w:val="auto"/>
          <w:sz w:val="32"/>
          <w:szCs w:val="32"/>
          <w:highlight w:val="none"/>
          <w:lang w:eastAsia="zh-CN"/>
        </w:rPr>
        <w:t>2018年度</w:t>
      </w:r>
      <w:r>
        <w:rPr>
          <w:rFonts w:hint="eastAsia" w:ascii="黑体" w:hAnsi="黑体" w:eastAsia="黑体" w:cs="黑体"/>
          <w:color w:val="auto"/>
          <w:sz w:val="32"/>
          <w:szCs w:val="32"/>
          <w:highlight w:val="none"/>
        </w:rPr>
        <w:t>部门决算情况说明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二、收入决算情况说明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四、财政拨款收入支出决算总体情况说明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五、一般公共预算财政拨款支出决算情况说明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六、一般公共预算财政拨款基本支出决算情况说明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七、一般公共预算财政拨款“三公”经费支出决算情况说明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八、预算绩效情况说明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九、政府性基金预算财政拨款支出决算情况说明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十、机关运行经费支出情况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十一、</w:t>
      </w:r>
      <w:r>
        <w:rPr>
          <w:rFonts w:hint="eastAsia" w:ascii="宋体" w:hAnsi="宋体" w:eastAsia="宋体" w:cs="宋体"/>
          <w:color w:val="auto"/>
          <w:sz w:val="32"/>
          <w:szCs w:val="32"/>
          <w:highlight w:val="none"/>
        </w:rPr>
        <w:t>政府采购支出情况</w:t>
      </w:r>
      <w:r>
        <w:rPr>
          <w:rFonts w:hint="eastAsia" w:ascii="宋体" w:hAnsi="宋体" w:eastAsia="宋体" w:cs="宋体"/>
          <w:color w:val="auto"/>
          <w:sz w:val="32"/>
          <w:szCs w:val="32"/>
          <w:highlight w:val="none"/>
          <w:lang w:eastAsia="zh-CN"/>
        </w:rPr>
        <w:t>说明</w:t>
      </w:r>
    </w:p>
    <w:p>
      <w:pPr>
        <w:ind w:firstLine="640" w:firstLineChars="200"/>
        <w:jc w:val="left"/>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十二、国有资产占用情况说明</w:t>
      </w:r>
    </w:p>
    <w:p>
      <w:pPr>
        <w:jc w:val="lef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部分　　名词解释</w:t>
      </w:r>
    </w:p>
    <w:p>
      <w:pPr>
        <w:ind w:firstLine="640" w:firstLineChars="200"/>
        <w:jc w:val="left"/>
        <w:rPr>
          <w:rFonts w:ascii="宋体" w:hAnsi="宋体" w:eastAsia="宋体" w:cs="宋体"/>
          <w:color w:val="auto"/>
          <w:sz w:val="32"/>
          <w:szCs w:val="32"/>
          <w:highlight w:val="none"/>
        </w:rPr>
      </w:pPr>
    </w:p>
    <w:p>
      <w:pPr>
        <w:jc w:val="left"/>
        <w:rPr>
          <w:rFonts w:hint="eastAsia" w:ascii="黑体" w:hAnsi="黑体" w:eastAsia="黑体" w:cs="黑体"/>
          <w:color w:val="auto"/>
          <w:sz w:val="32"/>
          <w:szCs w:val="32"/>
          <w:highlight w:val="none"/>
        </w:rPr>
        <w:sectPr>
          <w:footerReference r:id="rId3" w:type="default"/>
          <w:footerReference r:id="rId4" w:type="even"/>
          <w:pgSz w:w="11906" w:h="16838"/>
          <w:pgMar w:top="1440" w:right="1531" w:bottom="1440" w:left="1587" w:header="850" w:footer="992" w:gutter="0"/>
          <w:pgNumType w:fmt="numberInDash" w:start="1"/>
          <w:cols w:space="720" w:num="1"/>
          <w:rtlGutter w:val="0"/>
          <w:docGrid w:type="lines" w:linePitch="317"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numPr>
          <w:ilvl w:val="0"/>
          <w:numId w:val="2"/>
        </w:numPr>
        <w:jc w:val="center"/>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val="en-US" w:eastAsia="zh-CN"/>
        </w:rPr>
        <w:t xml:space="preserve"> </w:t>
      </w:r>
    </w:p>
    <w:p>
      <w:pPr>
        <w:widowControl/>
        <w:numPr>
          <w:ilvl w:val="0"/>
          <w:numId w:val="0"/>
        </w:numPr>
        <w:jc w:val="both"/>
        <w:outlineLvl w:val="0"/>
        <w:rPr>
          <w:rFonts w:hint="eastAsia" w:ascii="黑体" w:hAnsi="黑体" w:eastAsia="黑体" w:cs="黑体"/>
          <w:color w:val="auto"/>
          <w:sz w:val="48"/>
          <w:szCs w:val="48"/>
          <w:highlight w:val="none"/>
          <w:lang w:eastAsia="zh-CN"/>
        </w:rPr>
      </w:pPr>
      <w:r>
        <w:rPr>
          <w:rFonts w:hint="eastAsia" w:ascii="黑体" w:hAnsi="黑体" w:eastAsia="黑体" w:cs="黑体"/>
          <w:color w:val="auto"/>
          <w:sz w:val="48"/>
          <w:szCs w:val="48"/>
          <w:highlight w:val="none"/>
          <w:lang w:eastAsia="zh-CN"/>
        </w:rPr>
        <w:t>新乡经济技术开发区管理委员会财政局</w:t>
      </w:r>
    </w:p>
    <w:p>
      <w:pPr>
        <w:widowControl/>
        <w:numPr>
          <w:ilvl w:val="0"/>
          <w:numId w:val="0"/>
        </w:numPr>
        <w:jc w:val="center"/>
        <w:outlineLvl w:val="0"/>
        <w:rPr>
          <w:rFonts w:hint="eastAsia" w:ascii="黑体" w:hAnsi="宋体" w:eastAsia="黑体" w:cs="宋体"/>
          <w:color w:val="auto"/>
          <w:kern w:val="0"/>
          <w:sz w:val="28"/>
          <w:szCs w:val="28"/>
          <w:highlight w:val="none"/>
          <w:lang w:val="en-US" w:eastAsia="zh-CN"/>
        </w:rPr>
      </w:pPr>
      <w:r>
        <w:rPr>
          <w:rFonts w:hint="eastAsia" w:ascii="黑体" w:hAnsi="黑体" w:eastAsia="黑体" w:cs="黑体"/>
          <w:color w:val="auto"/>
          <w:sz w:val="48"/>
          <w:szCs w:val="48"/>
          <w:highlight w:val="none"/>
        </w:rPr>
        <w:t>概</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况</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一、部门</w:t>
      </w:r>
      <w:r>
        <w:rPr>
          <w:rFonts w:hint="eastAsia" w:ascii="黑体" w:hAnsi="黑体" w:eastAsia="黑体" w:cs="黑体"/>
          <w:bCs/>
          <w:sz w:val="32"/>
          <w:szCs w:val="32"/>
        </w:rPr>
        <w:t>职责</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新乡经开区财政局是新乡经济技术开发区管理委员会的组成部门，主要承担的工作职能是：负责区内财政预算的管理、分配，组织预算平衡，办理预、决算的编审工作，并负责提供财政预、决算报告；协调税务部门依法组织财政收入；协调相关部门积极开展对外融资；负责国有资产及增值资产的管理工作；负责预算外资金和城市维护、建设资金的分配与管理；负责会计核算中心及土地公司的财务管理，对区内机关财经纪律的执行情况进行检査和监督等工作。</w:t>
      </w:r>
    </w:p>
    <w:p>
      <w:pPr>
        <w:widowControl/>
        <w:ind w:firstLine="640" w:firstLineChars="200"/>
        <w:jc w:val="left"/>
        <w:outlineLvl w:val="1"/>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二、机构设置</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纳入新乡经开区财政局2018年度部门决算编制范围的单位包括：局机关1个。</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从决算单位构成看，新乡经开区财政局部门决算包括：本级决算。</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二</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部门决算表</w:t>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仿宋_GB2312" w:hAnsi="仿宋_GB2312" w:eastAsia="仿宋_GB2312" w:cs="仿宋_GB2312"/>
          <w:color w:val="auto"/>
          <w:kern w:val="0"/>
          <w:sz w:val="32"/>
          <w:szCs w:val="32"/>
          <w:highlight w:val="none"/>
          <w:lang w:val="en-US" w:eastAsia="zh-CN"/>
        </w:rPr>
      </w:pPr>
      <w:r>
        <w:drawing>
          <wp:inline distT="0" distB="0" distL="114300" distR="114300">
            <wp:extent cx="5269865" cy="4371340"/>
            <wp:effectExtent l="0" t="0" r="6985" b="1016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269865" cy="4371340"/>
                    </a:xfrm>
                    <a:prstGeom prst="rect">
                      <a:avLst/>
                    </a:prstGeom>
                    <a:noFill/>
                    <a:ln w="9525">
                      <a:noFill/>
                    </a:ln>
                  </pic:spPr>
                </pic:pic>
              </a:graphicData>
            </a:graphic>
          </wp:inline>
        </w:drawing>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r>
        <w:drawing>
          <wp:inline distT="0" distB="0" distL="114300" distR="114300">
            <wp:extent cx="5271770" cy="4714240"/>
            <wp:effectExtent l="0" t="0" r="5080" b="1016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7"/>
                    <a:stretch>
                      <a:fillRect/>
                    </a:stretch>
                  </pic:blipFill>
                  <pic:spPr>
                    <a:xfrm>
                      <a:off x="0" y="0"/>
                      <a:ext cx="5271770" cy="4714240"/>
                    </a:xfrm>
                    <a:prstGeom prst="rect">
                      <a:avLst/>
                    </a:prstGeom>
                    <a:noFill/>
                    <a:ln w="9525">
                      <a:noFill/>
                    </a:ln>
                  </pic:spPr>
                </pic:pic>
              </a:graphicData>
            </a:graphic>
          </wp:inline>
        </w:drawing>
      </w:r>
    </w:p>
    <w:p>
      <w:pPr>
        <w:widowControl/>
        <w:jc w:val="left"/>
        <w:rPr>
          <w:rFonts w:hint="eastAsia" w:ascii="仿宋_GB2312" w:hAnsi="仿宋_GB2312" w:eastAsia="仿宋_GB2312" w:cs="仿宋_GB2312"/>
          <w:color w:val="auto"/>
          <w:kern w:val="0"/>
          <w:sz w:val="32"/>
          <w:szCs w:val="32"/>
          <w:highlight w:val="none"/>
          <w:lang w:val="en-US" w:eastAsia="zh-CN"/>
        </w:rPr>
      </w:pPr>
      <w:r>
        <w:drawing>
          <wp:inline distT="0" distB="0" distL="114300" distR="114300">
            <wp:extent cx="5272405" cy="5184140"/>
            <wp:effectExtent l="0" t="0" r="4445" b="1651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8"/>
                    <a:stretch>
                      <a:fillRect/>
                    </a:stretch>
                  </pic:blipFill>
                  <pic:spPr>
                    <a:xfrm>
                      <a:off x="0" y="0"/>
                      <a:ext cx="5272405" cy="5184140"/>
                    </a:xfrm>
                    <a:prstGeom prst="rect">
                      <a:avLst/>
                    </a:prstGeom>
                    <a:noFill/>
                    <a:ln w="9525">
                      <a:noFill/>
                    </a:ln>
                  </pic:spPr>
                </pic:pic>
              </a:graphicData>
            </a:graphic>
          </wp:inline>
        </w:drawing>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r>
        <w:drawing>
          <wp:inline distT="0" distB="0" distL="114300" distR="114300">
            <wp:extent cx="5266055" cy="4580890"/>
            <wp:effectExtent l="0" t="0" r="10795" b="1016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9"/>
                    <a:stretch>
                      <a:fillRect/>
                    </a:stretch>
                  </pic:blipFill>
                  <pic:spPr>
                    <a:xfrm>
                      <a:off x="0" y="0"/>
                      <a:ext cx="5266055" cy="4580890"/>
                    </a:xfrm>
                    <a:prstGeom prst="rect">
                      <a:avLst/>
                    </a:prstGeom>
                    <a:noFill/>
                    <a:ln w="9525">
                      <a:noFill/>
                    </a:ln>
                  </pic:spPr>
                </pic:pic>
              </a:graphicData>
            </a:graphic>
          </wp:inline>
        </w:drawing>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r>
        <w:drawing>
          <wp:inline distT="0" distB="0" distL="114300" distR="114300">
            <wp:extent cx="5273675" cy="5897245"/>
            <wp:effectExtent l="0" t="0" r="3175" b="825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0"/>
                    <a:stretch>
                      <a:fillRect/>
                    </a:stretch>
                  </pic:blipFill>
                  <pic:spPr>
                    <a:xfrm>
                      <a:off x="0" y="0"/>
                      <a:ext cx="5273675" cy="5897245"/>
                    </a:xfrm>
                    <a:prstGeom prst="rect">
                      <a:avLst/>
                    </a:prstGeom>
                    <a:noFill/>
                    <a:ln w="9525">
                      <a:noFill/>
                    </a:ln>
                  </pic:spPr>
                </pic:pic>
              </a:graphicData>
            </a:graphic>
          </wp:inline>
        </w:drawing>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r>
        <w:drawing>
          <wp:inline distT="0" distB="0" distL="114300" distR="114300">
            <wp:extent cx="5267325" cy="4676775"/>
            <wp:effectExtent l="0" t="0" r="9525" b="9525"/>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1"/>
                    <a:stretch>
                      <a:fillRect/>
                    </a:stretch>
                  </pic:blipFill>
                  <pic:spPr>
                    <a:xfrm>
                      <a:off x="0" y="0"/>
                      <a:ext cx="5267325" cy="4676775"/>
                    </a:xfrm>
                    <a:prstGeom prst="rect">
                      <a:avLst/>
                    </a:prstGeom>
                    <a:noFill/>
                    <a:ln w="9525">
                      <a:noFill/>
                    </a:ln>
                  </pic:spPr>
                </pic:pic>
              </a:graphicData>
            </a:graphic>
          </wp:inline>
        </w:drawing>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r>
        <w:drawing>
          <wp:inline distT="0" distB="0" distL="114300" distR="114300">
            <wp:extent cx="5270500" cy="1864995"/>
            <wp:effectExtent l="0" t="0" r="6350" b="190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2"/>
                    <a:stretch>
                      <a:fillRect/>
                    </a:stretch>
                  </pic:blipFill>
                  <pic:spPr>
                    <a:xfrm>
                      <a:off x="0" y="0"/>
                      <a:ext cx="5270500" cy="1864995"/>
                    </a:xfrm>
                    <a:prstGeom prst="rect">
                      <a:avLst/>
                    </a:prstGeom>
                    <a:noFill/>
                    <a:ln w="9525">
                      <a:noFill/>
                    </a:ln>
                  </pic:spPr>
                </pic:pic>
              </a:graphicData>
            </a:graphic>
          </wp:inline>
        </w:drawing>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r>
        <w:drawing>
          <wp:inline distT="0" distB="0" distL="114300" distR="114300">
            <wp:extent cx="5273675" cy="1783080"/>
            <wp:effectExtent l="0" t="0" r="3175" b="762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3"/>
                    <a:stretch>
                      <a:fillRect/>
                    </a:stretch>
                  </pic:blipFill>
                  <pic:spPr>
                    <a:xfrm>
                      <a:off x="0" y="0"/>
                      <a:ext cx="5273675" cy="1783080"/>
                    </a:xfrm>
                    <a:prstGeom prst="rect">
                      <a:avLst/>
                    </a:prstGeom>
                    <a:noFill/>
                    <a:ln w="9525">
                      <a:noFill/>
                    </a:ln>
                  </pic:spPr>
                </pic:pic>
              </a:graphicData>
            </a:graphic>
          </wp:inline>
        </w:drawing>
      </w: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三</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lang w:eastAsia="zh-CN"/>
        </w:rPr>
        <w:t>2018年度</w:t>
      </w:r>
      <w:r>
        <w:rPr>
          <w:rFonts w:hint="eastAsia" w:ascii="黑体" w:hAnsi="黑体" w:eastAsia="黑体" w:cs="黑体"/>
          <w:color w:val="auto"/>
          <w:sz w:val="48"/>
          <w:szCs w:val="48"/>
          <w:highlight w:val="none"/>
        </w:rPr>
        <w:t>部门决算情况说明</w:t>
      </w:r>
    </w:p>
    <w:p>
      <w:pPr>
        <w:widowControl/>
        <w:jc w:val="left"/>
        <w:rPr>
          <w:rFonts w:hint="eastAsia" w:ascii="黑体" w:hAnsi="黑体" w:eastAsia="黑体" w:cs="黑体"/>
          <w:color w:val="auto"/>
          <w:sz w:val="48"/>
          <w:szCs w:val="48"/>
          <w:highlight w:val="none"/>
        </w:rPr>
        <w:sectPr>
          <w:pgSz w:w="11906" w:h="16838"/>
          <w:pgMar w:top="1440" w:right="1800" w:bottom="1440" w:left="1800" w:header="720" w:footer="720"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2018年度收、支总计均为6835.2万元。与上年度相比，收、支总计各增加5428.47万元，增长385.89%。主要原因是本年新增产业发展基金项目以及借款还本付息支出。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二、收入决算情况说明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2018年度收入合计6738.78万元，其中：财政拨款收入6738.78万元，占100%；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2018年度支出合计4762.63万元，其中：基本支出270.84万元，占5.69%；项目支出4491.8万元，占94.31%；</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2018年度财政拨款收、支总计均为6835.2万元。与上年度相比，财政拨款收、支总计各增加5428.47万元，增长385.89%。主要原因是本年新增产业发展基金项目以及借款还本付息支出。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（一）总体情况。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2018年度一般公共预算财政拨款支出4762.63万元，占本年支出合计的100%。与上年度相比，一般公共预算财政拨款支出增加3158.51万元，增长196.9%。主要原因是本年新增产业发展基金项目以及借款还本付息支出。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（二）结构情况。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4762.63万元，主要用于以下方面：一般公共服务（类）支出1746.41万元，占36.67%；城乡社区支出（类）支出2969.8万元，占62.36%；社会保障和就业支出（类）支出37.48万元，占0.79%；医疗卫生与计划生育支出（类）支出7.59万元，占0.16%；金融支出（类）支出1.35万元，占0.02%。</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（三）具体情况。</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2018年度一般公共预算财政拨款支出年初预算为9587.66万元，支出决算为4762.63万元，完成年初预算的49.67%。其中：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1.一般公共服务支出（类）财政事务（款）行政运行（项）</w:t>
      </w:r>
      <w:r>
        <w:rPr>
          <w:rFonts w:hint="eastAsia" w:ascii="仿宋_GB2312" w:hAnsi="仿宋_GB2312" w:eastAsia="仿宋_GB2312" w:cs="仿宋_GB2312"/>
          <w:color w:val="auto"/>
          <w:sz w:val="32"/>
          <w:szCs w:val="32"/>
          <w:highlight w:val="none"/>
          <w:lang w:val="en-US" w:eastAsia="zh-CN"/>
        </w:rPr>
        <w:t>年初预算为144.69万元，支出决算为225.77万元，完成年初预算的156.04%。决算数与年初预算数存在差异的主要原因是机构改革人员表动导致人员工资变动。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val="en-US" w:eastAsia="zh-CN"/>
        </w:rPr>
        <w:t>一般公共服务支出（类）财政事务（款）信息化建设（项）</w:t>
      </w:r>
      <w:r>
        <w:rPr>
          <w:rFonts w:hint="eastAsia" w:ascii="仿宋_GB2312" w:hAnsi="仿宋_GB2312" w:eastAsia="仿宋_GB2312" w:cs="仿宋_GB2312"/>
          <w:color w:val="auto"/>
          <w:sz w:val="32"/>
          <w:szCs w:val="32"/>
          <w:highlight w:val="none"/>
          <w:lang w:val="en-US" w:eastAsia="zh-CN"/>
        </w:rPr>
        <w:t>年初预算为19.5万元，支出决算为15万元，完成年初预算的76.92%。决算数与年初预算数存在差异的主要原因是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相关活动支出调整</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val="en-US" w:eastAsia="zh-CN"/>
        </w:rPr>
        <w:t>一般公共服务支出（类）财政事务（款）财政委托业务支出（项）</w:t>
      </w:r>
      <w:r>
        <w:rPr>
          <w:rFonts w:hint="eastAsia" w:ascii="仿宋_GB2312" w:hAnsi="仿宋_GB2312" w:eastAsia="仿宋_GB2312" w:cs="仿宋_GB2312"/>
          <w:color w:val="auto"/>
          <w:sz w:val="32"/>
          <w:szCs w:val="32"/>
          <w:highlight w:val="none"/>
          <w:lang w:val="en-US" w:eastAsia="zh-CN"/>
        </w:rPr>
        <w:t>年初预算为185万元，支出决算为153.44万元，完成年初预算的82.94%。决算数与年初预算数存在差异的主要原因是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相关活动支出调整</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val="en-US" w:eastAsia="zh-CN"/>
        </w:rPr>
        <w:t>一般公共服务支出（类）财政事务（款）其他财政事务支出（项）</w:t>
      </w:r>
      <w:r>
        <w:rPr>
          <w:rFonts w:hint="eastAsia" w:ascii="仿宋_GB2312" w:hAnsi="仿宋_GB2312" w:eastAsia="仿宋_GB2312" w:cs="仿宋_GB2312"/>
          <w:color w:val="auto"/>
          <w:sz w:val="32"/>
          <w:szCs w:val="32"/>
          <w:highlight w:val="none"/>
          <w:lang w:val="en-US" w:eastAsia="zh-CN"/>
        </w:rPr>
        <w:t>年初预算为1472.1万元，支出决算为1352.2万元，完成年初预算的91.92%。决算数与年初预算数存在差异的主要原因是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相关活动支出调整</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val="en-US" w:eastAsia="zh-CN"/>
        </w:rPr>
        <w:t>社会保障和就业支出（类）行政事业单位离退休（款）机关事业单位基本养老保险缴费支出（项）</w:t>
      </w:r>
      <w:r>
        <w:rPr>
          <w:rFonts w:hint="eastAsia" w:ascii="仿宋_GB2312" w:hAnsi="仿宋_GB2312" w:eastAsia="仿宋_GB2312" w:cs="仿宋_GB2312"/>
          <w:color w:val="auto"/>
          <w:sz w:val="32"/>
          <w:szCs w:val="32"/>
          <w:highlight w:val="none"/>
          <w:lang w:val="en-US" w:eastAsia="zh-CN"/>
        </w:rPr>
        <w:t>年初预算为12.17万元，支出决算为30.59万元，完成年初预算的251.36%。决算数与年初预算数存在差异的主要原因是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部门人员调整。</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val="en-US" w:eastAsia="zh-CN"/>
        </w:rPr>
        <w:t>社会保障和就业支出（类）行政事业单位离退休（款）机关事业单位职业年金缴费支出（项）</w:t>
      </w:r>
      <w:r>
        <w:rPr>
          <w:rFonts w:hint="eastAsia" w:ascii="仿宋_GB2312" w:hAnsi="仿宋_GB2312" w:eastAsia="仿宋_GB2312" w:cs="仿宋_GB2312"/>
          <w:color w:val="auto"/>
          <w:sz w:val="32"/>
          <w:szCs w:val="32"/>
          <w:highlight w:val="none"/>
          <w:lang w:val="en-US" w:eastAsia="zh-CN"/>
        </w:rPr>
        <w:t>年初预算为0万元，支出决算为6.61万元。决算数与年初预算数存在差异的主要原因是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部门人员调整。</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val="en-US" w:eastAsia="zh-CN"/>
        </w:rPr>
        <w:t>社会保障和就业支出（类）其他社会保障和就业支出（款）其他社会保障和就业支出（项）</w:t>
      </w:r>
      <w:r>
        <w:rPr>
          <w:rFonts w:hint="eastAsia" w:ascii="仿宋_GB2312" w:hAnsi="仿宋_GB2312" w:eastAsia="仿宋_GB2312" w:cs="仿宋_GB2312"/>
          <w:color w:val="auto"/>
          <w:sz w:val="32"/>
          <w:szCs w:val="32"/>
          <w:highlight w:val="none"/>
          <w:lang w:val="en-US" w:eastAsia="zh-CN"/>
        </w:rPr>
        <w:t>年初预算为0.3万元，支出决算为0.29万元，完成年初预算的96.67%。决算数与年初预算数存在差异的主要原因是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部门人员调整。</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val="en-US" w:eastAsia="zh-CN"/>
        </w:rPr>
        <w:t>医疗卫生与计划生育支出（类）行政事业单位医疗（款）行政单位医疗（项）</w:t>
      </w:r>
      <w:r>
        <w:rPr>
          <w:rFonts w:hint="eastAsia" w:ascii="仿宋_GB2312" w:hAnsi="仿宋_GB2312" w:eastAsia="仿宋_GB2312" w:cs="仿宋_GB2312"/>
          <w:color w:val="auto"/>
          <w:sz w:val="32"/>
          <w:szCs w:val="32"/>
          <w:highlight w:val="none"/>
          <w:lang w:val="en-US" w:eastAsia="zh-CN"/>
        </w:rPr>
        <w:t>年初预算为3.51万元，支出决算为3.8万元，完成年初预算的108.26%。决算数与年初预算数存在差异的主要原因是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部门人员调整。</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lang w:val="en-US" w:eastAsia="zh-CN"/>
        </w:rPr>
        <w:t>医疗卫生与计划生育支出（类）行政事业单位医疗（款）公务员医疗补助（项）</w:t>
      </w:r>
      <w:r>
        <w:rPr>
          <w:rFonts w:hint="eastAsia" w:ascii="仿宋_GB2312" w:hAnsi="仿宋_GB2312" w:eastAsia="仿宋_GB2312" w:cs="仿宋_GB2312"/>
          <w:color w:val="auto"/>
          <w:sz w:val="32"/>
          <w:szCs w:val="32"/>
          <w:highlight w:val="none"/>
          <w:lang w:val="en-US" w:eastAsia="zh-CN"/>
        </w:rPr>
        <w:t>年初预算为3.51万元，支出决算为3.8万元，完成年初预算的108.26%。决算数与年初预算数存在差异的主要原因是</w:t>
      </w:r>
      <w:r>
        <w:rPr>
          <w:rFonts w:hint="eastAsia" w:ascii="仿宋_GB2312" w:hAnsi="仿宋_GB2312" w:eastAsia="仿宋_GB2312" w:cs="仿宋_GB2312"/>
          <w:b w:val="0"/>
          <w:bCs w:val="0"/>
          <w:color w:val="auto"/>
          <w:sz w:val="32"/>
          <w:szCs w:val="32"/>
          <w:highlight w:val="none"/>
          <w:lang w:val="en-US" w:eastAsia="zh-CN"/>
        </w:rPr>
        <w:t>部门人员调整。</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lang w:val="en-US" w:eastAsia="zh-CN"/>
        </w:rPr>
        <w:t>城乡社区支出（类）城乡社区公共设施（款）其他城乡社区公共设施（项）</w:t>
      </w:r>
      <w:r>
        <w:rPr>
          <w:rFonts w:hint="eastAsia" w:ascii="仿宋_GB2312" w:hAnsi="仿宋_GB2312" w:eastAsia="仿宋_GB2312" w:cs="仿宋_GB2312"/>
          <w:color w:val="auto"/>
          <w:sz w:val="32"/>
          <w:szCs w:val="32"/>
          <w:highlight w:val="none"/>
          <w:lang w:val="en-US" w:eastAsia="zh-CN"/>
        </w:rPr>
        <w:t>年初预算为3649.8万元，支出决算为2969.8万元，完成年初预算的81.37%。决算数与年初预算数存在差异的主要原因是</w:t>
      </w:r>
      <w:r>
        <w:rPr>
          <w:rFonts w:hint="eastAsia" w:ascii="仿宋_GB2312" w:hAnsi="仿宋_GB2312" w:eastAsia="仿宋_GB2312" w:cs="仿宋_GB2312"/>
          <w:b w:val="0"/>
          <w:bCs w:val="0"/>
          <w:color w:val="auto"/>
          <w:sz w:val="32"/>
          <w:szCs w:val="32"/>
          <w:highlight w:val="none"/>
          <w:lang w:eastAsia="zh-CN"/>
        </w:rPr>
        <w:t>相关活动支出调整</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lang w:val="en-US" w:eastAsia="zh-CN"/>
        </w:rPr>
        <w:t>金融支出（类）金融部门行政支出（款）金融部门其他行政支出（项）</w:t>
      </w:r>
      <w:r>
        <w:rPr>
          <w:rFonts w:hint="eastAsia" w:ascii="仿宋_GB2312" w:hAnsi="仿宋_GB2312" w:eastAsia="仿宋_GB2312" w:cs="仿宋_GB2312"/>
          <w:color w:val="auto"/>
          <w:sz w:val="32"/>
          <w:szCs w:val="32"/>
          <w:highlight w:val="none"/>
          <w:lang w:val="en-US" w:eastAsia="zh-CN"/>
        </w:rPr>
        <w:t>年初预算为0万元，支出决算为1.35万元。决算数与年初预算数存在差异的主要原因是新增</w:t>
      </w:r>
      <w:r>
        <w:rPr>
          <w:rFonts w:hint="eastAsia" w:ascii="仿宋_GB2312" w:hAnsi="仿宋_GB2312" w:eastAsia="仿宋_GB2312" w:cs="仿宋_GB2312"/>
          <w:b w:val="0"/>
          <w:bCs w:val="0"/>
          <w:color w:val="auto"/>
          <w:sz w:val="32"/>
          <w:szCs w:val="32"/>
          <w:highlight w:val="none"/>
          <w:lang w:eastAsia="zh-CN"/>
        </w:rPr>
        <w:t>金融办业务。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一般公共预算财政拨款基本支出270.84万元。其中：人员经费249.18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21.66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2018年度“三公”经费财政拨款支出预算为2万元，支出决算为0.031万元，完成预算的1.55%。2018年度“三公”经费支出决算数与预算数存在差异的主要原因是公务接待减少。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三公”经费财政拨款支出决算中，因公出国（境）费支出决算0万元，完成预算的0%，占0%；公务用车购置及运行费支出决算0万元，完成预算的0%，占0%；公务接待费支出决算0.031万元，完成预算的1.55%，占100%。具体情况如下：</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lang w:val="en-US" w:eastAsia="zh-CN"/>
        </w:rPr>
        <w:t>1．因公出国（境）费</w:t>
      </w:r>
      <w:r>
        <w:rPr>
          <w:rFonts w:hint="eastAsia" w:ascii="仿宋_GB2312" w:hAnsi="仿宋_GB2312" w:eastAsia="仿宋_GB2312" w:cs="仿宋_GB2312"/>
          <w:color w:val="auto"/>
          <w:sz w:val="32"/>
          <w:szCs w:val="32"/>
          <w:highlight w:val="none"/>
          <w:lang w:val="en-US" w:eastAsia="zh-CN"/>
        </w:rPr>
        <w:t>年初预算为0万元，支出决算为0万元，完成年初预算的0%。0</w:t>
      </w:r>
      <w:r>
        <w:rPr>
          <w:rFonts w:hint="eastAsia" w:ascii="仿宋_GB2312" w:hAnsi="仿宋_GB2312" w:eastAsia="仿宋_GB2312" w:cs="仿宋_GB2312"/>
          <w:color w:val="auto"/>
          <w:sz w:val="32"/>
          <w:szCs w:val="32"/>
          <w:highlight w:val="none"/>
          <w:u w:val="none"/>
          <w:lang w:val="en-US" w:eastAsia="zh-CN"/>
        </w:rPr>
        <w:t>全年因公出国（境）团组0个，累计0次。</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2．公务用车购置及运行费</w:t>
      </w:r>
      <w:r>
        <w:rPr>
          <w:rFonts w:hint="eastAsia" w:ascii="仿宋_GB2312" w:hAnsi="仿宋_GB2312" w:eastAsia="仿宋_GB2312" w:cs="仿宋_GB2312"/>
          <w:b w:val="0"/>
          <w:bCs w:val="0"/>
          <w:color w:val="auto"/>
          <w:sz w:val="32"/>
          <w:szCs w:val="32"/>
          <w:highlight w:val="none"/>
          <w:u w:val="dotDash"/>
          <w:lang w:val="en-US" w:eastAsia="zh-CN"/>
        </w:rPr>
        <w:t>年</w:t>
      </w:r>
      <w:r>
        <w:rPr>
          <w:rFonts w:hint="eastAsia" w:ascii="仿宋_GB2312" w:hAnsi="仿宋_GB2312" w:eastAsia="仿宋_GB2312" w:cs="仿宋_GB2312"/>
          <w:color w:val="auto"/>
          <w:sz w:val="32"/>
          <w:szCs w:val="32"/>
          <w:highlight w:val="none"/>
          <w:lang w:val="en-US" w:eastAsia="zh-CN"/>
        </w:rPr>
        <w:t>初预算为0万元，支出决算为0万元，完成年初预算的0%。其中：</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公务用车购置支出</w:t>
      </w:r>
      <w:r>
        <w:rPr>
          <w:rFonts w:hint="eastAsia" w:ascii="仿宋_GB2312" w:hAnsi="仿宋_GB2312" w:eastAsia="仿宋_GB2312" w:cs="仿宋_GB2312"/>
          <w:color w:val="auto"/>
          <w:sz w:val="32"/>
          <w:szCs w:val="32"/>
          <w:highlight w:val="none"/>
          <w:lang w:val="en-US" w:eastAsia="zh-CN"/>
        </w:rPr>
        <w:t>为0万元，购置车辆0辆0。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公务用车运行支出</w:t>
      </w:r>
      <w:r>
        <w:rPr>
          <w:rFonts w:hint="eastAsia" w:ascii="仿宋_GB2312" w:hAnsi="仿宋_GB2312" w:eastAsia="仿宋_GB2312" w:cs="仿宋_GB2312"/>
          <w:color w:val="auto"/>
          <w:sz w:val="32"/>
          <w:szCs w:val="32"/>
          <w:highlight w:val="none"/>
          <w:lang w:val="en-US" w:eastAsia="zh-CN"/>
        </w:rPr>
        <w:t>0万元。2018年期末，部门开支财政拨款的公务用车保有量为0辆。</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3.公务接待费</w:t>
      </w:r>
      <w:r>
        <w:rPr>
          <w:rFonts w:hint="eastAsia" w:ascii="仿宋_GB2312" w:hAnsi="仿宋_GB2312" w:eastAsia="仿宋_GB2312" w:cs="仿宋_GB2312"/>
          <w:b w:val="0"/>
          <w:bCs w:val="0"/>
          <w:color w:val="auto"/>
          <w:sz w:val="32"/>
          <w:szCs w:val="32"/>
          <w:highlight w:val="none"/>
          <w:u w:val="none"/>
          <w:lang w:val="en-US" w:eastAsia="zh-CN"/>
        </w:rPr>
        <w:t>年</w:t>
      </w:r>
      <w:bookmarkStart w:id="0" w:name="_GoBack"/>
      <w:bookmarkEnd w:id="0"/>
      <w:r>
        <w:rPr>
          <w:rFonts w:hint="eastAsia" w:ascii="仿宋_GB2312" w:hAnsi="仿宋_GB2312" w:eastAsia="仿宋_GB2312" w:cs="仿宋_GB2312"/>
          <w:color w:val="auto"/>
          <w:sz w:val="32"/>
          <w:szCs w:val="32"/>
          <w:highlight w:val="none"/>
          <w:lang w:val="en-US" w:eastAsia="zh-CN"/>
        </w:rPr>
        <w:t>初预算为2万元，支出决算为0.031万元，完成年初预算的1.55%。决算数与年初预算数存在差异的主要原因是公务接待减少。其中：</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外宾接待支出</w:t>
      </w:r>
      <w:r>
        <w:rPr>
          <w:rFonts w:hint="eastAsia" w:ascii="仿宋_GB2312" w:hAnsi="仿宋_GB2312" w:eastAsia="仿宋_GB2312" w:cs="仿宋_GB2312"/>
          <w:color w:val="auto"/>
          <w:sz w:val="32"/>
          <w:szCs w:val="32"/>
          <w:highlight w:val="none"/>
          <w:lang w:val="en-US" w:eastAsia="zh-CN"/>
        </w:rPr>
        <w:t>0万元。2018年共接待国（境）外来访团组0个、来访外宾0人次（不包括陪同人员）。</w:t>
      </w:r>
    </w:p>
    <w:p>
      <w:pPr>
        <w:keepNext w:val="0"/>
        <w:keepLines w:val="0"/>
        <w:pageBreakBefore w:val="0"/>
        <w:widowControl/>
        <w:numPr>
          <w:ilvl w:val="0"/>
          <w:numId w:val="0"/>
        </w:numPr>
        <w:kinsoku/>
        <w:wordWrap/>
        <w:overflowPunct/>
        <w:topLinePunct w:val="0"/>
        <w:autoSpaceDE/>
        <w:autoSpaceDN/>
        <w:bidi w:val="0"/>
        <w:adjustRightInd/>
        <w:snapToGrid/>
        <w:spacing w:line="590" w:lineRule="exact"/>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其他国内公务接待支出</w:t>
      </w:r>
      <w:r>
        <w:rPr>
          <w:rFonts w:hint="eastAsia" w:ascii="仿宋_GB2312" w:hAnsi="仿宋_GB2312" w:eastAsia="仿宋_GB2312" w:cs="仿宋_GB2312"/>
          <w:color w:val="auto"/>
          <w:sz w:val="32"/>
          <w:szCs w:val="32"/>
          <w:highlight w:val="none"/>
          <w:lang w:val="en-US" w:eastAsia="zh-CN"/>
        </w:rPr>
        <w:t>0.031万元。</w:t>
      </w:r>
      <w:r>
        <w:rPr>
          <w:rFonts w:hint="eastAsia" w:ascii="仿宋_GB2312" w:hAnsi="仿宋_GB2312" w:eastAsia="仿宋_GB2312" w:cs="仿宋_GB2312"/>
          <w:strike w:val="0"/>
          <w:dstrike w:val="0"/>
          <w:color w:val="auto"/>
          <w:sz w:val="32"/>
          <w:szCs w:val="32"/>
          <w:highlight w:val="none"/>
          <w:lang w:val="en-US" w:eastAsia="zh-CN"/>
        </w:rPr>
        <w:t>主要用于接待平原新区财政局前来交流学习等。2018年共接待国内来访团组1个、来宾8人次（不包括陪同人员）。</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八、预算绩效情况说明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（一）绩效管理工作开展情况。</w:t>
      </w:r>
    </w:p>
    <w:p>
      <w:pPr>
        <w:widowControl/>
        <w:numPr>
          <w:ilvl w:val="0"/>
          <w:numId w:val="0"/>
        </w:numPr>
        <w:spacing w:line="590" w:lineRule="exact"/>
        <w:ind w:firstLine="640" w:firstLineChars="200"/>
        <w:rPr>
          <w:rFonts w:hint="eastAsia" w:ascii="仿宋" w:hAnsi="仿宋" w:eastAsia="仿宋" w:cs="仿宋"/>
          <w:b w:val="0"/>
          <w:i w:val="0"/>
          <w:caps w:val="0"/>
          <w:color w:val="333333"/>
          <w:spacing w:val="0"/>
          <w:sz w:val="32"/>
          <w:szCs w:val="32"/>
          <w:shd w:val="clear" w:color="auto" w:fill="FFFFFF"/>
          <w:lang w:eastAsia="zh-CN"/>
        </w:rPr>
      </w:pPr>
      <w:r>
        <w:rPr>
          <w:rFonts w:hint="eastAsia" w:ascii="仿宋" w:hAnsi="仿宋" w:eastAsia="仿宋" w:cs="仿宋"/>
          <w:b w:val="0"/>
          <w:i w:val="0"/>
          <w:caps w:val="0"/>
          <w:color w:val="333333"/>
          <w:spacing w:val="0"/>
          <w:sz w:val="32"/>
          <w:szCs w:val="32"/>
          <w:shd w:val="clear" w:color="auto" w:fill="FFFFFF"/>
        </w:rPr>
        <w:t>201</w:t>
      </w:r>
      <w:r>
        <w:rPr>
          <w:rFonts w:hint="eastAsia" w:ascii="仿宋" w:hAnsi="仿宋" w:eastAsia="仿宋" w:cs="仿宋"/>
          <w:b w:val="0"/>
          <w:i w:val="0"/>
          <w:caps w:val="0"/>
          <w:color w:val="333333"/>
          <w:spacing w:val="0"/>
          <w:sz w:val="32"/>
          <w:szCs w:val="32"/>
          <w:shd w:val="clear" w:color="auto" w:fill="FFFFFF"/>
          <w:lang w:val="en-US" w:eastAsia="zh-CN"/>
        </w:rPr>
        <w:t>8</w:t>
      </w:r>
      <w:r>
        <w:rPr>
          <w:rFonts w:hint="eastAsia" w:ascii="仿宋" w:hAnsi="仿宋" w:eastAsia="仿宋" w:cs="仿宋"/>
          <w:b w:val="0"/>
          <w:i w:val="0"/>
          <w:caps w:val="0"/>
          <w:color w:val="333333"/>
          <w:spacing w:val="0"/>
          <w:sz w:val="32"/>
          <w:szCs w:val="32"/>
          <w:shd w:val="clear" w:color="auto" w:fill="FFFFFF"/>
        </w:rPr>
        <w:t>年我</w:t>
      </w:r>
      <w:r>
        <w:rPr>
          <w:rFonts w:hint="eastAsia" w:ascii="仿宋" w:hAnsi="仿宋" w:eastAsia="仿宋" w:cs="仿宋"/>
          <w:b w:val="0"/>
          <w:i w:val="0"/>
          <w:caps w:val="0"/>
          <w:color w:val="333333"/>
          <w:spacing w:val="0"/>
          <w:sz w:val="32"/>
          <w:szCs w:val="32"/>
          <w:shd w:val="clear" w:color="auto" w:fill="FFFFFF"/>
          <w:lang w:eastAsia="zh-CN"/>
        </w:rPr>
        <w:t>局逐步</w:t>
      </w:r>
      <w:r>
        <w:rPr>
          <w:rFonts w:hint="eastAsia" w:ascii="仿宋" w:hAnsi="仿宋" w:eastAsia="仿宋" w:cs="仿宋"/>
          <w:b w:val="0"/>
          <w:i w:val="0"/>
          <w:caps w:val="0"/>
          <w:color w:val="333333"/>
          <w:spacing w:val="0"/>
          <w:sz w:val="32"/>
          <w:szCs w:val="32"/>
          <w:shd w:val="clear" w:color="auto" w:fill="FFFFFF"/>
        </w:rPr>
        <w:t>加大推进绩效管理力度，扩大绩效目标管理覆盖范围，选择重点部门的重点项目实行重点绩效评价；加大绩效评价结果运用力度。积极进行决算的编报工作，认真如实填报，认真完成年初预算填报的项目绩效</w:t>
      </w:r>
      <w:r>
        <w:rPr>
          <w:rFonts w:hint="eastAsia" w:ascii="仿宋" w:hAnsi="仿宋" w:eastAsia="仿宋" w:cs="仿宋"/>
          <w:b w:val="0"/>
          <w:i w:val="0"/>
          <w:caps w:val="0"/>
          <w:color w:val="333333"/>
          <w:spacing w:val="0"/>
          <w:sz w:val="32"/>
          <w:szCs w:val="32"/>
          <w:shd w:val="clear" w:color="auto" w:fill="FFFFFF"/>
          <w:lang w:eastAsia="zh-CN"/>
        </w:rPr>
        <w:t>目标。</w:t>
      </w:r>
    </w:p>
    <w:p>
      <w:pPr>
        <w:keepNext w:val="0"/>
        <w:keepLines w:val="0"/>
        <w:pageBreakBefore w:val="0"/>
        <w:widowControl/>
        <w:kinsoku/>
        <w:wordWrap/>
        <w:overflowPunct/>
        <w:topLinePunct w:val="0"/>
        <w:autoSpaceDE/>
        <w:autoSpaceDN/>
        <w:bidi w:val="0"/>
        <w:adjustRightInd/>
        <w:snapToGrid/>
        <w:spacing w:line="590" w:lineRule="exact"/>
        <w:ind w:right="0" w:rightChars="0" w:firstLine="643" w:firstLineChars="200"/>
        <w:jc w:val="both"/>
        <w:textAlignment w:val="auto"/>
        <w:outlineLvl w:val="2"/>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（二）项目绩效自评结果。</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2"/>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我单位能认真完成年初设立的绩效目标，三公经费的预算数和决算数差额能有效控制并逐年下降。</w:t>
      </w:r>
    </w:p>
    <w:p>
      <w:pPr>
        <w:keepNext w:val="0"/>
        <w:keepLines w:val="0"/>
        <w:pageBreakBefore w:val="0"/>
        <w:widowControl/>
        <w:numPr>
          <w:ilvl w:val="0"/>
          <w:numId w:val="3"/>
        </w:numPr>
        <w:kinsoku/>
        <w:wordWrap/>
        <w:overflowPunct/>
        <w:topLinePunct w:val="0"/>
        <w:autoSpaceDE/>
        <w:autoSpaceDN/>
        <w:bidi w:val="0"/>
        <w:adjustRightInd/>
        <w:snapToGrid/>
        <w:spacing w:line="590" w:lineRule="exact"/>
        <w:ind w:left="0" w:leftChars="0" w:right="0" w:rightChars="0" w:firstLine="643" w:firstLineChars="200"/>
        <w:jc w:val="both"/>
        <w:textAlignment w:val="auto"/>
        <w:outlineLvl w:val="2"/>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以部门为主体开展的重点绩效评价结果</w:t>
      </w:r>
    </w:p>
    <w:p>
      <w:pPr>
        <w:widowControl/>
        <w:spacing w:line="590" w:lineRule="exact"/>
        <w:ind w:firstLine="640" w:firstLineChars="200"/>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sz w:val="32"/>
          <w:szCs w:val="32"/>
          <w:lang w:val="en-US" w:eastAsia="zh-CN"/>
        </w:rPr>
        <w:t>2018年度财政局预算编制比较科学，整体支出情况良好。在收到财政下达的各类指标后，按照资金的用途，支出总额控制在预算总额以内，按照预算执行进度，及时拨付各项款项。</w:t>
      </w:r>
      <w:r>
        <w:rPr>
          <w:rFonts w:hint="eastAsia" w:ascii="仿宋" w:hAnsi="仿宋" w:eastAsia="仿宋" w:cs="仿宋"/>
          <w:color w:val="auto"/>
          <w:sz w:val="32"/>
          <w:szCs w:val="32"/>
          <w:highlight w:val="none"/>
          <w:lang w:val="en-US" w:eastAsia="zh-CN"/>
        </w:rPr>
        <w:t>“三公经费”控制率≥90%，政府采购执行率≥95%，资金使用合理，管理制度健全。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九、政府性基金预算财政拨款支出决算情况说明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性基金预算财政拨款支出年初预算为5553万元，支出决算为0万元，完成年初预算的0%。其中国有土地使用权出让金债务还本支付息支出年末结转和结余资金数额较大，主要原因：政府债务还本支出由国库直接拨付，未经财政局账面。</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十、机关运行经费支出情况说明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2018年度机关运行经费</w:t>
      </w:r>
      <w:r>
        <w:rPr>
          <w:rFonts w:hint="eastAsia" w:ascii="仿宋_GB2312" w:hAnsi="仿宋_GB2312" w:eastAsia="仿宋_GB2312" w:cs="仿宋_GB2312"/>
          <w:color w:val="auto"/>
          <w:sz w:val="32"/>
          <w:szCs w:val="32"/>
          <w:highlight w:val="none"/>
          <w:u w:val="dotDash"/>
          <w:lang w:val="en-US" w:eastAsia="zh-CN"/>
        </w:rPr>
        <w:t>年</w:t>
      </w:r>
      <w:r>
        <w:rPr>
          <w:rFonts w:hint="eastAsia" w:ascii="仿宋_GB2312" w:hAnsi="仿宋_GB2312" w:eastAsia="仿宋_GB2312" w:cs="仿宋_GB2312"/>
          <w:color w:val="auto"/>
          <w:sz w:val="32"/>
          <w:szCs w:val="32"/>
          <w:highlight w:val="none"/>
          <w:lang w:val="en-US" w:eastAsia="zh-CN"/>
        </w:rPr>
        <w:t>初预算为6.04万元，支出决算为21.66万元，完成年初预算的0%。决算数与年初预算数存在差异的主要原因是各种预算评审、审计费用增加。</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十一、政府采购支出情况说明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度政府采购支出总额101.51万元，其中：政府采购货物支出1.51万元、政府采购工程支出0万元、政府采购服务支出100万元。授予中小企业合同金额101.51万元，占政府采购支出总额的100%，其中：授予小微企业合同金额101.51万元，占政府采购支出总额的100%。</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1"/>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十二、国有资产占用情况说明</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2018年期末，我部门共有车辆0辆单位价值50万元以上通用设备0台（套），单位价值100万元以上专用设备0台（套）。</w:t>
      </w:r>
    </w:p>
    <w:p>
      <w:pPr>
        <w:widowControl/>
        <w:jc w:val="left"/>
        <w:rPr>
          <w:rFonts w:hint="eastAsia" w:ascii="楷体_GB2312" w:hAnsi="楷体_GB2312" w:eastAsia="楷体_GB2312" w:cs="楷体_GB2312"/>
          <w:color w:val="auto"/>
          <w:sz w:val="32"/>
          <w:szCs w:val="32"/>
          <w:highlight w:val="none"/>
          <w:lang w:val="en-US"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widowControl/>
        <w:jc w:val="left"/>
        <w:rPr>
          <w:rFonts w:hint="eastAsia" w:ascii="黑体" w:hAnsi="宋体" w:eastAsia="黑体" w:cs="宋体"/>
          <w:color w:val="auto"/>
          <w:kern w:val="0"/>
          <w:sz w:val="28"/>
          <w:szCs w:val="28"/>
          <w:highlight w:val="none"/>
          <w:lang w:val="en-US" w:eastAsia="zh-CN"/>
        </w:rPr>
      </w:pPr>
    </w:p>
    <w:p>
      <w:pPr>
        <w:jc w:val="center"/>
        <w:outlineLvl w:val="0"/>
        <w:rPr>
          <w:rFonts w:hint="eastAsia" w:ascii="黑体" w:hAnsi="黑体" w:eastAsia="黑体" w:cs="黑体"/>
          <w:color w:val="auto"/>
          <w:sz w:val="48"/>
          <w:szCs w:val="48"/>
          <w:highlight w:val="none"/>
        </w:rPr>
      </w:pPr>
      <w:r>
        <w:rPr>
          <w:rFonts w:hint="eastAsia" w:ascii="黑体" w:hAnsi="黑体" w:eastAsia="黑体" w:cs="黑体"/>
          <w:color w:val="auto"/>
          <w:sz w:val="48"/>
          <w:szCs w:val="48"/>
          <w:highlight w:val="none"/>
        </w:rPr>
        <w:t>第</w:t>
      </w:r>
      <w:r>
        <w:rPr>
          <w:rFonts w:hint="eastAsia" w:ascii="黑体" w:hAnsi="黑体" w:eastAsia="黑体" w:cs="黑体"/>
          <w:color w:val="auto"/>
          <w:sz w:val="48"/>
          <w:szCs w:val="48"/>
          <w:highlight w:val="none"/>
          <w:lang w:eastAsia="zh-CN"/>
        </w:rPr>
        <w:t>四</w:t>
      </w:r>
      <w:r>
        <w:rPr>
          <w:rFonts w:hint="eastAsia" w:ascii="黑体" w:hAnsi="黑体" w:eastAsia="黑体" w:cs="黑体"/>
          <w:color w:val="auto"/>
          <w:sz w:val="48"/>
          <w:szCs w:val="48"/>
          <w:highlight w:val="none"/>
        </w:rPr>
        <w:t>部分</w:t>
      </w:r>
      <w:r>
        <w:rPr>
          <w:rFonts w:hint="eastAsia" w:ascii="黑体" w:hAnsi="黑体" w:eastAsia="黑体" w:cs="黑体"/>
          <w:color w:val="auto"/>
          <w:sz w:val="48"/>
          <w:szCs w:val="48"/>
          <w:highlight w:val="none"/>
          <w:lang w:val="en-US" w:eastAsia="zh-CN"/>
        </w:rPr>
        <w:t xml:space="preserve">  </w:t>
      </w:r>
      <w:r>
        <w:rPr>
          <w:rFonts w:hint="eastAsia" w:ascii="黑体" w:hAnsi="黑体" w:eastAsia="黑体" w:cs="黑体"/>
          <w:color w:val="auto"/>
          <w:sz w:val="48"/>
          <w:szCs w:val="48"/>
          <w:highlight w:val="none"/>
        </w:rPr>
        <w:t>名词解释</w:t>
      </w:r>
    </w:p>
    <w:p>
      <w:pPr>
        <w:jc w:val="center"/>
        <w:outlineLvl w:val="9"/>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sectPr>
          <w:pgSz w:w="11906" w:h="16838"/>
          <w:pgMar w:top="1440" w:right="1531" w:bottom="1440" w:left="1587" w:header="850" w:footer="992" w:gutter="0"/>
          <w:pgNumType w:fmt="numberInDash"/>
          <w:cols w:space="720" w:num="1"/>
          <w:rtlGutter w:val="0"/>
          <w:docGrid w:type="lines" w:linePitch="317" w:charSpace="0"/>
        </w:sectPr>
      </w:pP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一、财政拨款收入：</w:t>
      </w:r>
      <w:r>
        <w:rPr>
          <w:rFonts w:hint="eastAsia" w:ascii="仿宋_GB2312" w:hAnsi="仿宋_GB2312" w:eastAsia="仿宋_GB2312" w:cs="仿宋_GB2312"/>
          <w:color w:val="auto"/>
          <w:sz w:val="32"/>
          <w:szCs w:val="32"/>
          <w:highlight w:val="none"/>
          <w:lang w:val="en-US" w:eastAsia="zh-CN"/>
        </w:rPr>
        <w:t>单位从同级政府财政部门取得的财政预算资金。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二、事业收入：事业单位开展专业业务活动及其辅助活动取得的收入。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六、其他收入：单位取得的除“财政拨款收入”、“事业收入”、“上级补助收入”、“附属单位上缴收入”、“经营收入”以外的各项收入。</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十三、商品和服务支出：单位购买商品和服务的支出。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十四、对个人和家庭的补助支出：单位用于对个人和家庭的补助支出。</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十六、年末结余：本年度或以前年度预算安排，已执行完毕或因客观条件发生变化无法按原预算安排实施，不需要再使用或无法按原预算安排继续使用的资金</w:t>
      </w: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p>
      <w:pPr>
        <w:widowControl/>
        <w:jc w:val="left"/>
        <w:rPr>
          <w:rFonts w:hint="eastAsia" w:ascii="仿宋_GB2312" w:hAnsi="仿宋_GB2312" w:eastAsia="仿宋_GB2312" w:cs="仿宋_GB2312"/>
          <w:color w:val="auto"/>
          <w:kern w:val="0"/>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- 3 -</w:t>
                    </w:r>
                    <w:r>
                      <w:rPr>
                        <w:rFonts w:hint="eastAsia"/>
                        <w:sz w:val="18"/>
                        <w:lang w:eastAsia="zh-CN"/>
                      </w:rP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- 2 -</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01573B"/>
    <w:multiLevelType w:val="singleLevel"/>
    <w:tmpl w:val="D301573B"/>
    <w:lvl w:ilvl="0" w:tentative="0">
      <w:start w:val="1"/>
      <w:numFmt w:val="chineseCounting"/>
      <w:suff w:val="space"/>
      <w:lvlText w:val="第%1部分"/>
      <w:lvlJc w:val="left"/>
      <w:rPr>
        <w:rFonts w:hint="eastAsia"/>
      </w:rPr>
    </w:lvl>
  </w:abstractNum>
  <w:abstractNum w:abstractNumId="1">
    <w:nsid w:val="FB63995D"/>
    <w:multiLevelType w:val="singleLevel"/>
    <w:tmpl w:val="FB63995D"/>
    <w:lvl w:ilvl="0" w:tentative="0">
      <w:start w:val="3"/>
      <w:numFmt w:val="chineseCounting"/>
      <w:suff w:val="nothing"/>
      <w:lvlText w:val="（%1）"/>
      <w:lvlJc w:val="left"/>
      <w:rPr>
        <w:rFonts w:hint="eastAsia"/>
      </w:rPr>
    </w:lvl>
  </w:abstractNum>
  <w:abstractNum w:abstractNumId="2">
    <w:nsid w:val="5971BE17"/>
    <w:multiLevelType w:val="singleLevel"/>
    <w:tmpl w:val="5971BE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939E9"/>
    <w:rsid w:val="03133C23"/>
    <w:rsid w:val="04915F14"/>
    <w:rsid w:val="082A2C9A"/>
    <w:rsid w:val="09021766"/>
    <w:rsid w:val="0F3833B4"/>
    <w:rsid w:val="10984B44"/>
    <w:rsid w:val="13FE3658"/>
    <w:rsid w:val="14E65E8D"/>
    <w:rsid w:val="15FD5C11"/>
    <w:rsid w:val="1B2B1BB7"/>
    <w:rsid w:val="1CE91121"/>
    <w:rsid w:val="1DC10014"/>
    <w:rsid w:val="249939E9"/>
    <w:rsid w:val="254C6F64"/>
    <w:rsid w:val="2D6E1E4F"/>
    <w:rsid w:val="34A1013C"/>
    <w:rsid w:val="37700B0F"/>
    <w:rsid w:val="3AF515BD"/>
    <w:rsid w:val="3B2B1F1E"/>
    <w:rsid w:val="3C41541B"/>
    <w:rsid w:val="3D7A2A8E"/>
    <w:rsid w:val="3E4C3377"/>
    <w:rsid w:val="44124099"/>
    <w:rsid w:val="45C51E77"/>
    <w:rsid w:val="49B1458C"/>
    <w:rsid w:val="54C77C0B"/>
    <w:rsid w:val="55443B7B"/>
    <w:rsid w:val="56722FA0"/>
    <w:rsid w:val="57A81C81"/>
    <w:rsid w:val="5C4E1AC6"/>
    <w:rsid w:val="61614015"/>
    <w:rsid w:val="672166E7"/>
    <w:rsid w:val="6AF32E5D"/>
    <w:rsid w:val="6D535020"/>
    <w:rsid w:val="6E3B4AB2"/>
    <w:rsid w:val="6F1F5646"/>
    <w:rsid w:val="71B265DB"/>
    <w:rsid w:val="737073F8"/>
    <w:rsid w:val="73CE7B39"/>
    <w:rsid w:val="75032681"/>
    <w:rsid w:val="77613039"/>
    <w:rsid w:val="7B357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footnote text"/>
    <w:basedOn w:val="1"/>
    <w:unhideWhenUsed/>
    <w:qFormat/>
    <w:uiPriority w:val="99"/>
    <w:pPr>
      <w:snapToGrid w:val="0"/>
      <w:jc w:val="left"/>
    </w:pPr>
    <w:rPr>
      <w:sz w:val="18"/>
    </w:rPr>
  </w:style>
  <w:style w:type="character" w:styleId="6">
    <w:name w:val="footnote reference"/>
    <w:basedOn w:val="5"/>
    <w:unhideWhenUsed/>
    <w:qFormat/>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2019-08-30T02:00:00Z</dcterms:created>
  <dc:creator>lenovo</dc:creator>
  <cp:lastModifiedBy>lenovo</cp:lastModifiedBy>
  <dcterms:modified xsi:type="dcterms:W3CDTF">2021-05-31T07:56:04Z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