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经开区纪工委</w:t>
      </w:r>
    </w:p>
    <w:p>
      <w:pPr>
        <w:jc w:val="center"/>
        <w:rPr>
          <w:rFonts w:ascii="黑体" w:hAnsi="黑体" w:eastAsia="黑体" w:cs="黑体"/>
          <w:color w:val="auto"/>
          <w:sz w:val="52"/>
          <w:szCs w:val="52"/>
        </w:rPr>
      </w:pPr>
      <w:r>
        <w:rPr>
          <w:rFonts w:hint="eastAsia" w:ascii="黑体" w:hAnsi="黑体" w:eastAsia="黑体" w:cs="黑体"/>
          <w:color w:val="auto"/>
          <w:sz w:val="52"/>
          <w:szCs w:val="52"/>
        </w:rPr>
        <w:t>2018年度部门决算</w:t>
      </w:r>
      <w:bookmarkStart w:id="0" w:name="_GoBack"/>
      <w:bookmarkEnd w:id="0"/>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二〇一九年九月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经开区纪工委概况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部门职责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2018年度部门决算表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八、政府性基金预算财政拨款收入支出决算表</w:t>
      </w:r>
    </w:p>
    <w:p>
      <w:pPr>
        <w:jc w:val="left"/>
        <w:rPr>
          <w:rFonts w:ascii="黑体" w:hAnsi="黑体" w:eastAsia="黑体" w:cs="黑体"/>
          <w:color w:val="auto"/>
          <w:sz w:val="32"/>
          <w:szCs w:val="32"/>
        </w:rPr>
      </w:pPr>
      <w:r>
        <w:rPr>
          <w:rFonts w:hint="eastAsia" w:ascii="黑体" w:hAnsi="黑体" w:eastAsia="黑体" w:cs="黑体"/>
          <w:color w:val="auto"/>
          <w:sz w:val="32"/>
          <w:szCs w:val="32"/>
        </w:rPr>
        <w:t>第三部分　　2018年度部门决算情况说明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八、预算绩效情况说明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九、政府性基金预算财政拨款支出决算情况说明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十、机关运行经费支出情况说明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十二、国有资产占用情况说明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第四部分　　名词解释</w:t>
      </w:r>
    </w:p>
    <w:p>
      <w:pPr>
        <w:ind w:firstLine="640" w:firstLineChars="200"/>
        <w:jc w:val="left"/>
        <w:rPr>
          <w:rFonts w:ascii="宋体" w:hAnsi="宋体" w:cs="宋体"/>
          <w:color w:val="auto"/>
          <w:sz w:val="32"/>
          <w:szCs w:val="32"/>
        </w:rPr>
      </w:pPr>
    </w:p>
    <w:p>
      <w:pPr>
        <w:jc w:val="left"/>
        <w:rPr>
          <w:rFonts w:ascii="黑体" w:hAnsi="黑体" w:eastAsia="黑体" w:cs="黑体"/>
          <w:color w:val="auto"/>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center"/>
        <w:outlineLvl w:val="0"/>
        <w:rPr>
          <w:rFonts w:ascii="黑体" w:hAnsi="宋体" w:eastAsia="黑体" w:cs="宋体"/>
          <w:color w:val="auto"/>
          <w:kern w:val="0"/>
          <w:sz w:val="28"/>
          <w:szCs w:val="28"/>
        </w:rPr>
      </w:pPr>
      <w:r>
        <w:rPr>
          <w:rFonts w:hint="eastAsia" w:ascii="黑体" w:hAnsi="黑体" w:eastAsia="黑体" w:cs="黑体"/>
          <w:color w:val="auto"/>
          <w:sz w:val="48"/>
          <w:szCs w:val="48"/>
        </w:rPr>
        <w:t>第一部分  经开区纪工委概况</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一、部门</w:t>
      </w:r>
      <w:r>
        <w:rPr>
          <w:rFonts w:hint="eastAsia" w:ascii="黑体" w:hAnsi="黑体" w:eastAsia="黑体" w:cs="黑体"/>
          <w:bCs/>
          <w:color w:val="auto"/>
          <w:sz w:val="32"/>
          <w:szCs w:val="32"/>
        </w:rPr>
        <w:t>职责</w:t>
      </w:r>
    </w:p>
    <w:p>
      <w:pPr>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（1）</w:t>
      </w:r>
      <w:r>
        <w:rPr>
          <w:rFonts w:hint="eastAsia" w:ascii="仿宋_GB2312" w:hAnsi="仿宋_GB2312" w:eastAsia="仿宋_GB2312" w:cs="仿宋_GB2312"/>
          <w:b/>
          <w:color w:val="auto"/>
          <w:sz w:val="32"/>
          <w:szCs w:val="32"/>
        </w:rPr>
        <w:t>宣传教育：</w:t>
      </w:r>
      <w:r>
        <w:rPr>
          <w:rFonts w:hint="eastAsia" w:ascii="仿宋_GB2312" w:hAnsi="仿宋_GB2312" w:eastAsia="仿宋_GB2312" w:cs="仿宋_GB2312"/>
          <w:color w:val="auto"/>
          <w:sz w:val="32"/>
          <w:szCs w:val="32"/>
        </w:rPr>
        <w:t xml:space="preserve">负责宣传党的纪检监察工作的方针、政策；负责对党员、国家行政机关工作人员进行党风廉政和遵纪守法的教育；负责纪检监察各类报刊在本经开区的征订发行工作及其它廉政宣传教育工作；负责纪检监察系统干部培训工作。 </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（2）党风政风管理：</w:t>
      </w:r>
      <w:r>
        <w:rPr>
          <w:rFonts w:hint="eastAsia" w:ascii="仿宋_GB2312" w:hAnsi="仿宋_GB2312" w:eastAsia="仿宋_GB2312" w:cs="仿宋_GB2312"/>
          <w:color w:val="auto"/>
          <w:sz w:val="32"/>
          <w:szCs w:val="32"/>
        </w:rPr>
        <w:t>负责组织协调全区的纠风工作，检查和查办、督办各类纠风案件；负责督促、检查、指导各部门的纠风专项治理和作风建设工作。</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（3）防腐及廉政体系建设：</w:t>
      </w:r>
      <w:r>
        <w:rPr>
          <w:rFonts w:hint="eastAsia" w:ascii="仿宋_GB2312" w:hAnsi="仿宋_GB2312" w:eastAsia="仿宋_GB2312" w:cs="仿宋_GB2312"/>
          <w:color w:val="auto"/>
          <w:sz w:val="32"/>
          <w:szCs w:val="32"/>
        </w:rPr>
        <w:t>负责预防腐败工作的综合规划、政策制定、组织协调、检查指导;负责协调惩治和预防腐败体系建设工作;负责组织推进廉政风险防控管理工作；负责对辖区行政机关及其工作人员行政效能的监督、检查；实施对重大项目和群众关心的热点问题的效能监察等工作。</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（4）信访管理：</w:t>
      </w:r>
      <w:r>
        <w:rPr>
          <w:rFonts w:hint="eastAsia" w:ascii="仿宋_GB2312" w:hAnsi="仿宋_GB2312" w:eastAsia="仿宋_GB2312" w:cs="仿宋_GB2312"/>
          <w:color w:val="auto"/>
          <w:sz w:val="32"/>
          <w:szCs w:val="32"/>
        </w:rPr>
        <w:t>处理群众来信来电，接待群众来访，受理检举、控告；催办、督办本机关和上级纪检信访部门交办的纪检信访举报案件；分析研究纪检信访举报情况；协调处理纪检信访举报问题，疏导上访群众，维护社会稳定。</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（5）案件管理：</w:t>
      </w:r>
      <w:r>
        <w:rPr>
          <w:rFonts w:hint="eastAsia" w:ascii="仿宋_GB2312" w:hAnsi="仿宋_GB2312" w:eastAsia="仿宋_GB2312" w:cs="仿宋_GB2312"/>
          <w:color w:val="auto"/>
          <w:sz w:val="32"/>
          <w:szCs w:val="32"/>
        </w:rPr>
        <w:t>负责全区纪检监察系统案件管理工作；综合、统计、分析全区案件查处情况，提出有关工作建议；建立健全案件管理制度。</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（6）案件审查：</w:t>
      </w:r>
      <w:r>
        <w:rPr>
          <w:rFonts w:hint="eastAsia" w:ascii="仿宋_GB2312" w:hAnsi="仿宋_GB2312" w:eastAsia="仿宋_GB2312" w:cs="仿宋_GB2312"/>
          <w:color w:val="auto"/>
          <w:sz w:val="32"/>
          <w:szCs w:val="32"/>
        </w:rPr>
        <w:t>负责承办区管干部的违纪案件、上级部门交办的其它重要复杂案件的审查工作，提出处理意见。</w:t>
      </w:r>
    </w:p>
    <w:p>
      <w:pPr>
        <w:ind w:firstLine="642"/>
        <w:rPr>
          <w:rFonts w:ascii="华文仿宋" w:hAnsi="华文仿宋" w:eastAsia="华文仿宋" w:cs="华文仿宋"/>
          <w:color w:val="auto"/>
          <w:sz w:val="32"/>
          <w:szCs w:val="32"/>
        </w:rPr>
      </w:pPr>
      <w:r>
        <w:rPr>
          <w:rFonts w:hint="eastAsia" w:ascii="华文仿宋" w:hAnsi="华文仿宋" w:eastAsia="华文仿宋" w:cs="华文仿宋"/>
          <w:b/>
          <w:color w:val="auto"/>
          <w:sz w:val="32"/>
          <w:szCs w:val="32"/>
        </w:rPr>
        <w:t>（7）巡察管理：</w:t>
      </w:r>
      <w:r>
        <w:rPr>
          <w:rFonts w:hint="eastAsia" w:ascii="华文仿宋" w:hAnsi="华文仿宋" w:eastAsia="华文仿宋" w:cs="华文仿宋"/>
          <w:color w:val="auto"/>
          <w:sz w:val="32"/>
          <w:szCs w:val="32"/>
        </w:rPr>
        <w:t>贯彻党中央、上级党委和经开区党工委有关决议、决定；研究提出巡察工作年度和阶段任务、计划；研究确定巡察对象、内容以及巡察组组成人员；听取巡察情况汇报，审定巡察报告；研究巡察成果的运用，提出分类处置意见建议；向经开区党工委和上级巡视巡察机构报告巡察工作;向经开区党工委提出对巡察干部的调配意见；承办上级巡视巡察工作领导小组交办的其它事项。</w:t>
      </w:r>
    </w:p>
    <w:p>
      <w:pPr>
        <w:ind w:firstLine="642"/>
        <w:rPr>
          <w:rFonts w:ascii="华文仿宋" w:hAnsi="华文仿宋" w:eastAsia="华文仿宋" w:cs="华文仿宋"/>
          <w:color w:val="auto"/>
          <w:sz w:val="32"/>
          <w:szCs w:val="32"/>
        </w:rPr>
      </w:pPr>
      <w:r>
        <w:rPr>
          <w:rFonts w:hint="eastAsia" w:ascii="华文仿宋" w:hAnsi="华文仿宋" w:eastAsia="华文仿宋" w:cs="华文仿宋"/>
          <w:b/>
          <w:color w:val="auto"/>
          <w:sz w:val="32"/>
          <w:szCs w:val="32"/>
        </w:rPr>
        <w:t>（8）审计管理：</w:t>
      </w:r>
      <w:r>
        <w:rPr>
          <w:rFonts w:hint="eastAsia" w:ascii="华文仿宋" w:hAnsi="华文仿宋" w:eastAsia="华文仿宋" w:cs="华文仿宋"/>
          <w:color w:val="auto"/>
          <w:sz w:val="32"/>
          <w:szCs w:val="32"/>
        </w:rPr>
        <w:t>贯彻执行国家审计法律法规，落实国家、省、市审计工作有关要求，研究拟定全区审计工作的政策和措施;制定审计规范性文件并执行;制定全区审计工作计划，确定审计工作重点；按规定对区属各部门及依法属于经开区审计监督对象的单位主要负责人实施经济责任审计；核查社会审计机构对依法属于审计监督对象的单位出具的相关审计报告；承办经开区党工委、管委会和上级审计机关交办的其他事项。</w:t>
      </w: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纪工委内设机构0个。</w:t>
      </w:r>
    </w:p>
    <w:p>
      <w:pPr>
        <w:widowControl/>
        <w:ind w:firstLine="640" w:firstLineChars="200"/>
        <w:jc w:val="left"/>
        <w:rPr>
          <w:rFonts w:ascii="黑体" w:hAnsi="宋体" w:eastAsia="仿宋_GB2312" w:cs="宋体"/>
          <w:color w:val="auto"/>
          <w:kern w:val="0"/>
          <w:sz w:val="28"/>
          <w:szCs w:val="28"/>
        </w:rPr>
      </w:pPr>
      <w:r>
        <w:rPr>
          <w:rFonts w:hint="eastAsia" w:ascii="仿宋_GB2312" w:hAnsi="仿宋_GB2312" w:eastAsia="仿宋_GB2312" w:cs="仿宋_GB2312"/>
          <w:color w:val="auto"/>
          <w:kern w:val="0"/>
          <w:sz w:val="32"/>
          <w:szCs w:val="32"/>
        </w:rPr>
        <w:t>从决算单位构成看，纪工委部门决算是本级决算。</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第二部分  2018年度部门决算表</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4279"/>
        <w:gridCol w:w="825"/>
        <w:gridCol w:w="2141"/>
        <w:gridCol w:w="4294"/>
        <w:gridCol w:w="750"/>
        <w:gridCol w:w="1699"/>
      </w:tblGrid>
      <w:tr>
        <w:tblPrEx>
          <w:tblLayout w:type="fixed"/>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val="en-US" w:eastAsia="zh-CN"/>
              </w:rPr>
              <w:t>2018年度</w:t>
            </w:r>
            <w:r>
              <w:rPr>
                <w:rFonts w:hint="eastAsia" w:ascii="华文中宋" w:hAnsi="华文中宋" w:eastAsia="华文中宋" w:cs="华文中宋"/>
                <w:color w:val="auto"/>
                <w:kern w:val="0"/>
                <w:sz w:val="32"/>
                <w:szCs w:val="32"/>
              </w:rPr>
              <w:t>收入支出决算总表</w:t>
            </w:r>
          </w:p>
        </w:tc>
      </w:tr>
      <w:tr>
        <w:tblPrEx>
          <w:tblLayout w:type="fixed"/>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14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429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公开01表</w:t>
            </w:r>
          </w:p>
        </w:tc>
      </w:tr>
      <w:tr>
        <w:tblPrEx>
          <w:tblLayout w:type="fixed"/>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部门：</w:t>
            </w:r>
            <w:r>
              <w:rPr>
                <w:rFonts w:hint="eastAsia" w:ascii="宋体" w:hAnsi="宋体" w:cs="宋体"/>
                <w:color w:val="auto"/>
                <w:kern w:val="0"/>
                <w:sz w:val="20"/>
                <w:szCs w:val="20"/>
                <w:lang w:eastAsia="zh-CN"/>
              </w:rPr>
              <w:t>中共新乡经济技术开发区纪工委</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141"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4294"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Layout w:type="fixed"/>
          <w:tblCellMar>
            <w:top w:w="0" w:type="dxa"/>
            <w:left w:w="0" w:type="dxa"/>
            <w:bottom w:w="0" w:type="dxa"/>
            <w:right w:w="0" w:type="dxa"/>
          </w:tblCellMar>
        </w:tblPrEx>
        <w:trPr>
          <w:trHeight w:val="439" w:hRule="atLeast"/>
        </w:trPr>
        <w:tc>
          <w:tcPr>
            <w:tcW w:w="7245"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收入</w:t>
            </w:r>
          </w:p>
        </w:tc>
        <w:tc>
          <w:tcPr>
            <w:tcW w:w="6743"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支出</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行次</w:t>
            </w:r>
          </w:p>
        </w:tc>
        <w:tc>
          <w:tcPr>
            <w:tcW w:w="21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决算数</w:t>
            </w:r>
          </w:p>
        </w:tc>
        <w:tc>
          <w:tcPr>
            <w:tcW w:w="4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决算数</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21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4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193.57</w:t>
            </w:r>
          </w:p>
        </w:tc>
        <w:tc>
          <w:tcPr>
            <w:tcW w:w="4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183.59</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c>
          <w:tcPr>
            <w:tcW w:w="4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c>
          <w:tcPr>
            <w:tcW w:w="4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c>
          <w:tcPr>
            <w:tcW w:w="4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c>
          <w:tcPr>
            <w:tcW w:w="4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c>
          <w:tcPr>
            <w:tcW w:w="4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7</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4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七、社会保障和就业支出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18.96</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8</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42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0"/>
                <w:szCs w:val="20"/>
              </w:rPr>
            </w:pPr>
            <w:r>
              <w:rPr>
                <w:rFonts w:hint="eastAsia" w:ascii="宋体" w:hAnsi="宋体" w:cs="宋体"/>
                <w:color w:val="auto"/>
                <w:sz w:val="20"/>
                <w:szCs w:val="20"/>
              </w:rPr>
              <w:t>八、医疗卫生与计划生育支出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r>
              <w:rPr>
                <w:rFonts w:hint="eastAsia" w:ascii="宋体" w:hAnsi="宋体" w:cs="宋体"/>
                <w:color w:val="auto"/>
                <w:sz w:val="20"/>
                <w:szCs w:val="20"/>
              </w:rPr>
              <w:t>6.00</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193.57</w:t>
            </w:r>
          </w:p>
        </w:tc>
        <w:tc>
          <w:tcPr>
            <w:tcW w:w="42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b/>
                <w:color w:val="auto"/>
                <w:sz w:val="20"/>
                <w:szCs w:val="20"/>
              </w:rPr>
            </w:pPr>
            <w:r>
              <w:rPr>
                <w:rFonts w:hint="eastAsia" w:ascii="宋体" w:hAnsi="宋体" w:cs="宋体"/>
                <w:b/>
                <w:color w:val="auto"/>
                <w:sz w:val="20"/>
                <w:szCs w:val="20"/>
              </w:rPr>
              <w:t>208.54</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0</w:t>
            </w:r>
          </w:p>
        </w:tc>
        <w:tc>
          <w:tcPr>
            <w:tcW w:w="42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sz w:val="20"/>
                <w:szCs w:val="20"/>
              </w:rPr>
              <w:t>0</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11</w:t>
            </w:r>
          </w:p>
        </w:tc>
        <w:tc>
          <w:tcPr>
            <w:tcW w:w="2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20.87</w:t>
            </w:r>
          </w:p>
        </w:tc>
        <w:tc>
          <w:tcPr>
            <w:tcW w:w="42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sz w:val="20"/>
                <w:szCs w:val="20"/>
              </w:rPr>
              <w:t>5.90</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12</w:t>
            </w:r>
          </w:p>
        </w:tc>
        <w:tc>
          <w:tcPr>
            <w:tcW w:w="214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4294"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25</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13</w:t>
            </w:r>
          </w:p>
        </w:tc>
        <w:tc>
          <w:tcPr>
            <w:tcW w:w="214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r>
              <w:rPr>
                <w:rFonts w:hint="eastAsia" w:ascii="宋体" w:hAnsi="宋体" w:cs="宋体"/>
                <w:color w:val="auto"/>
                <w:sz w:val="20"/>
                <w:szCs w:val="20"/>
              </w:rPr>
              <w:t>214.44</w:t>
            </w:r>
          </w:p>
        </w:tc>
        <w:tc>
          <w:tcPr>
            <w:tcW w:w="4294"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26</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ascii="宋体" w:hAnsi="宋体" w:cs="宋体"/>
                <w:b/>
                <w:color w:val="auto"/>
                <w:sz w:val="20"/>
                <w:szCs w:val="20"/>
              </w:rPr>
            </w:pPr>
            <w:r>
              <w:rPr>
                <w:rFonts w:hint="eastAsia" w:ascii="宋体" w:hAnsi="宋体" w:cs="宋体"/>
                <w:b/>
                <w:color w:val="auto"/>
                <w:sz w:val="20"/>
                <w:szCs w:val="20"/>
              </w:rPr>
              <w:t>214.44</w:t>
            </w:r>
          </w:p>
        </w:tc>
      </w:tr>
      <w:tr>
        <w:tblPrEx>
          <w:tblLayout w:type="fixed"/>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注：本表反映部门本年度的总收支和年末结转结余情况。本表金额转换为万元时，因四舍五入可能存在尾差。</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27" w:type="dxa"/>
        <w:tblInd w:w="0" w:type="dxa"/>
        <w:tblLayout w:type="fixed"/>
        <w:tblCellMar>
          <w:top w:w="0" w:type="dxa"/>
          <w:left w:w="0" w:type="dxa"/>
          <w:bottom w:w="0" w:type="dxa"/>
          <w:right w:w="0" w:type="dxa"/>
        </w:tblCellMar>
      </w:tblPr>
      <w:tblGrid>
        <w:gridCol w:w="1267"/>
        <w:gridCol w:w="493"/>
        <w:gridCol w:w="240"/>
        <w:gridCol w:w="2002"/>
        <w:gridCol w:w="90"/>
        <w:gridCol w:w="1470"/>
        <w:gridCol w:w="182"/>
        <w:gridCol w:w="1453"/>
        <w:gridCol w:w="182"/>
        <w:gridCol w:w="1190"/>
        <w:gridCol w:w="182"/>
        <w:gridCol w:w="1161"/>
        <w:gridCol w:w="392"/>
        <w:gridCol w:w="883"/>
        <w:gridCol w:w="670"/>
        <w:gridCol w:w="965"/>
        <w:gridCol w:w="1023"/>
        <w:gridCol w:w="182"/>
      </w:tblGrid>
      <w:tr>
        <w:tblPrEx>
          <w:tblLayout w:type="fixed"/>
          <w:tblCellMar>
            <w:top w:w="0" w:type="dxa"/>
            <w:left w:w="0" w:type="dxa"/>
            <w:bottom w:w="0" w:type="dxa"/>
            <w:right w:w="0" w:type="dxa"/>
          </w:tblCellMar>
        </w:tblPrEx>
        <w:trPr>
          <w:gridAfter w:val="1"/>
          <w:wAfter w:w="182" w:type="dxa"/>
          <w:trHeight w:val="435" w:hRule="atLeast"/>
        </w:trPr>
        <w:tc>
          <w:tcPr>
            <w:tcW w:w="13845" w:type="dxa"/>
            <w:gridSpan w:val="17"/>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val="en-US" w:eastAsia="zh-CN"/>
              </w:rPr>
              <w:t>2018年度</w:t>
            </w:r>
            <w:r>
              <w:rPr>
                <w:rFonts w:hint="eastAsia" w:ascii="华文中宋" w:hAnsi="华文中宋" w:eastAsia="华文中宋" w:cs="华文中宋"/>
                <w:color w:val="auto"/>
                <w:kern w:val="0"/>
                <w:sz w:val="32"/>
                <w:szCs w:val="32"/>
              </w:rPr>
              <w:t>收入决算表</w:t>
            </w:r>
          </w:p>
        </w:tc>
      </w:tr>
      <w:tr>
        <w:tblPrEx>
          <w:tblLayout w:type="fixed"/>
          <w:tblCellMar>
            <w:top w:w="0" w:type="dxa"/>
            <w:left w:w="0" w:type="dxa"/>
            <w:bottom w:w="0" w:type="dxa"/>
            <w:right w:w="0" w:type="dxa"/>
          </w:tblCellMar>
        </w:tblPrEx>
        <w:trPr>
          <w:trHeight w:val="285" w:hRule="atLeast"/>
        </w:trPr>
        <w:tc>
          <w:tcPr>
            <w:tcW w:w="176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4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00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5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3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37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170" w:type="dxa"/>
            <w:gridSpan w:val="3"/>
            <w:tcBorders>
              <w:top w:val="nil"/>
              <w:left w:val="nil"/>
              <w:bottom w:val="nil"/>
              <w:right w:val="nil"/>
            </w:tcBorders>
            <w:shd w:val="clear" w:color="auto" w:fill="FFFFFF"/>
            <w:tcMar>
              <w:top w:w="15" w:type="dxa"/>
              <w:left w:w="15" w:type="dxa"/>
              <w:right w:w="15" w:type="dxa"/>
            </w:tcMar>
            <w:vAlign w:val="center"/>
          </w:tcPr>
          <w:p>
            <w:pPr>
              <w:widowControl/>
              <w:ind w:right="100"/>
              <w:jc w:val="right"/>
              <w:textAlignment w:val="center"/>
              <w:rPr>
                <w:rFonts w:ascii="宋体" w:hAnsi="宋体" w:cs="宋体"/>
                <w:color w:val="auto"/>
                <w:sz w:val="20"/>
                <w:szCs w:val="20"/>
              </w:rPr>
            </w:pPr>
            <w:r>
              <w:rPr>
                <w:rFonts w:hint="eastAsia" w:ascii="宋体" w:hAnsi="宋体" w:cs="宋体"/>
                <w:color w:val="auto"/>
                <w:kern w:val="0"/>
                <w:sz w:val="20"/>
                <w:szCs w:val="20"/>
              </w:rPr>
              <w:t>公开02表</w:t>
            </w:r>
          </w:p>
        </w:tc>
      </w:tr>
      <w:tr>
        <w:tblPrEx>
          <w:tblLayout w:type="fixed"/>
          <w:tblCellMar>
            <w:top w:w="0" w:type="dxa"/>
            <w:left w:w="0" w:type="dxa"/>
            <w:bottom w:w="0" w:type="dxa"/>
            <w:right w:w="0" w:type="dxa"/>
          </w:tblCellMar>
        </w:tblPrEx>
        <w:trPr>
          <w:trHeight w:val="300" w:hRule="atLeast"/>
        </w:trPr>
        <w:tc>
          <w:tcPr>
            <w:tcW w:w="4002" w:type="dxa"/>
            <w:gridSpan w:val="4"/>
            <w:tcBorders>
              <w:top w:val="nil"/>
              <w:left w:val="nil"/>
              <w:bottom w:val="nil"/>
              <w:right w:val="nil"/>
            </w:tcBorders>
            <w:shd w:val="clear" w:color="auto" w:fill="FFFFFF"/>
            <w:tcMar>
              <w:top w:w="15" w:type="dxa"/>
              <w:left w:w="15" w:type="dxa"/>
              <w:right w:w="15" w:type="dxa"/>
            </w:tcMar>
            <w:vAlign w:val="center"/>
          </w:tcPr>
          <w:p>
            <w:pPr>
              <w:ind w:right="400"/>
              <w:rPr>
                <w:rFonts w:ascii="宋体" w:hAnsi="宋体" w:cs="宋体"/>
                <w:color w:val="auto"/>
                <w:sz w:val="20"/>
                <w:szCs w:val="20"/>
              </w:rPr>
            </w:pPr>
            <w:r>
              <w:rPr>
                <w:rFonts w:hint="eastAsia" w:ascii="宋体" w:hAnsi="宋体" w:cs="宋体"/>
                <w:color w:val="auto"/>
                <w:kern w:val="0"/>
                <w:sz w:val="20"/>
                <w:szCs w:val="20"/>
              </w:rPr>
              <w:t>部门：</w:t>
            </w:r>
            <w:r>
              <w:rPr>
                <w:rFonts w:hint="eastAsia" w:ascii="宋体" w:hAnsi="宋体" w:cs="宋体"/>
                <w:color w:val="auto"/>
                <w:kern w:val="0"/>
                <w:sz w:val="20"/>
                <w:szCs w:val="20"/>
                <w:lang w:eastAsia="zh-CN"/>
              </w:rPr>
              <w:t>中共新乡经济技术开发区纪工委</w:t>
            </w:r>
          </w:p>
        </w:tc>
        <w:tc>
          <w:tcPr>
            <w:tcW w:w="9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5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35"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37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170" w:type="dxa"/>
            <w:gridSpan w:val="3"/>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Layout w:type="fixed"/>
          <w:tblCellMar>
            <w:top w:w="0" w:type="dxa"/>
            <w:left w:w="0" w:type="dxa"/>
            <w:bottom w:w="0" w:type="dxa"/>
            <w:right w:w="0" w:type="dxa"/>
          </w:tblCellMar>
        </w:tblPrEx>
        <w:trPr>
          <w:gridAfter w:val="1"/>
          <w:wAfter w:w="182" w:type="dxa"/>
          <w:trHeight w:val="450" w:hRule="atLeast"/>
        </w:trPr>
        <w:tc>
          <w:tcPr>
            <w:tcW w:w="4002"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    目</w:t>
            </w:r>
          </w:p>
        </w:tc>
        <w:tc>
          <w:tcPr>
            <w:tcW w:w="1560" w:type="dxa"/>
            <w:gridSpan w:val="2"/>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本年收入合计</w:t>
            </w:r>
          </w:p>
        </w:tc>
        <w:tc>
          <w:tcPr>
            <w:tcW w:w="1635" w:type="dxa"/>
            <w:gridSpan w:val="2"/>
            <w:vMerge w:val="restart"/>
            <w:tcBorders>
              <w:top w:val="single" w:color="000000" w:sz="8"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财政拨款收入</w:t>
            </w:r>
          </w:p>
        </w:tc>
        <w:tc>
          <w:tcPr>
            <w:tcW w:w="1372" w:type="dxa"/>
            <w:gridSpan w:val="2"/>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上级补助收入</w:t>
            </w:r>
          </w:p>
        </w:tc>
        <w:tc>
          <w:tcPr>
            <w:tcW w:w="1343" w:type="dxa"/>
            <w:gridSpan w:val="2"/>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事业收入</w:t>
            </w:r>
          </w:p>
        </w:tc>
        <w:tc>
          <w:tcPr>
            <w:tcW w:w="1275" w:type="dxa"/>
            <w:gridSpan w:val="2"/>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经营收入</w:t>
            </w:r>
          </w:p>
        </w:tc>
        <w:tc>
          <w:tcPr>
            <w:tcW w:w="1635" w:type="dxa"/>
            <w:gridSpan w:val="2"/>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附属单位上缴收入</w:t>
            </w:r>
          </w:p>
        </w:tc>
        <w:tc>
          <w:tcPr>
            <w:tcW w:w="1023" w:type="dxa"/>
            <w:vMerge w:val="restart"/>
            <w:tcBorders>
              <w:top w:val="single" w:color="000000" w:sz="8" w:space="0"/>
              <w:left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其他收入</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功能分类</w:t>
            </w:r>
          </w:p>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科目编码</w:t>
            </w:r>
          </w:p>
        </w:tc>
        <w:tc>
          <w:tcPr>
            <w:tcW w:w="273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科目名称</w:t>
            </w:r>
          </w:p>
        </w:tc>
        <w:tc>
          <w:tcPr>
            <w:tcW w:w="1560" w:type="dxa"/>
            <w:gridSpan w:val="2"/>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63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rPr>
            </w:pPr>
          </w:p>
        </w:tc>
        <w:tc>
          <w:tcPr>
            <w:tcW w:w="1372" w:type="dxa"/>
            <w:gridSpan w:val="2"/>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343" w:type="dxa"/>
            <w:gridSpan w:val="2"/>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275" w:type="dxa"/>
            <w:gridSpan w:val="2"/>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635" w:type="dxa"/>
            <w:gridSpan w:val="2"/>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023" w:type="dxa"/>
            <w:vMerge w:val="continue"/>
            <w:tcBorders>
              <w:left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182" w:type="dxa"/>
          <w:trHeight w:val="450" w:hRule="atLeast"/>
        </w:trPr>
        <w:tc>
          <w:tcPr>
            <w:tcW w:w="4002"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栏次</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c>
          <w:tcPr>
            <w:tcW w:w="102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7</w:t>
            </w:r>
          </w:p>
        </w:tc>
      </w:tr>
      <w:tr>
        <w:tblPrEx>
          <w:tblLayout w:type="fixed"/>
          <w:tblCellMar>
            <w:top w:w="0" w:type="dxa"/>
            <w:left w:w="0" w:type="dxa"/>
            <w:bottom w:w="0" w:type="dxa"/>
            <w:right w:w="0" w:type="dxa"/>
          </w:tblCellMar>
        </w:tblPrEx>
        <w:trPr>
          <w:gridAfter w:val="1"/>
          <w:wAfter w:w="182" w:type="dxa"/>
          <w:trHeight w:val="450" w:hRule="atLeast"/>
        </w:trPr>
        <w:tc>
          <w:tcPr>
            <w:tcW w:w="4002"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合计</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193.57</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193.57</w:t>
            </w:r>
          </w:p>
        </w:tc>
        <w:tc>
          <w:tcPr>
            <w:tcW w:w="13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0.00</w:t>
            </w:r>
          </w:p>
        </w:tc>
        <w:tc>
          <w:tcPr>
            <w:tcW w:w="1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0.00</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0.00</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0.00</w:t>
            </w:r>
          </w:p>
        </w:tc>
        <w:tc>
          <w:tcPr>
            <w:tcW w:w="102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w:t>
            </w:r>
          </w:p>
        </w:tc>
        <w:tc>
          <w:tcPr>
            <w:tcW w:w="273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一般公共服务支出</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176.41</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176.41</w:t>
            </w:r>
          </w:p>
        </w:tc>
        <w:tc>
          <w:tcPr>
            <w:tcW w:w="13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20111</w:t>
            </w:r>
          </w:p>
        </w:tc>
        <w:tc>
          <w:tcPr>
            <w:tcW w:w="273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纪检监察事务</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华文中宋" w:hAnsi="华文中宋" w:eastAsia="华文中宋" w:cs="华文中宋"/>
                <w:color w:val="auto"/>
                <w:sz w:val="20"/>
                <w:szCs w:val="20"/>
              </w:rPr>
            </w:pPr>
            <w:r>
              <w:rPr>
                <w:rFonts w:hint="eastAsia" w:ascii="宋体" w:hAnsi="宋体" w:cs="宋体"/>
                <w:color w:val="auto"/>
                <w:kern w:val="0"/>
                <w:sz w:val="22"/>
              </w:rPr>
              <w:t>176.41</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176.41</w:t>
            </w:r>
          </w:p>
        </w:tc>
        <w:tc>
          <w:tcPr>
            <w:tcW w:w="13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530" w:hRule="atLeast"/>
        </w:trPr>
        <w:tc>
          <w:tcPr>
            <w:tcW w:w="126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2011101</w:t>
            </w:r>
          </w:p>
        </w:tc>
        <w:tc>
          <w:tcPr>
            <w:tcW w:w="273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行政运行</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165.67</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165.67</w:t>
            </w:r>
          </w:p>
        </w:tc>
        <w:tc>
          <w:tcPr>
            <w:tcW w:w="13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2011199</w:t>
            </w:r>
          </w:p>
        </w:tc>
        <w:tc>
          <w:tcPr>
            <w:tcW w:w="273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其他纪检监察事务支出</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10.74</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10.74</w:t>
            </w:r>
          </w:p>
        </w:tc>
        <w:tc>
          <w:tcPr>
            <w:tcW w:w="13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w:t>
            </w:r>
          </w:p>
        </w:tc>
        <w:tc>
          <w:tcPr>
            <w:tcW w:w="273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社会保障和就业支出</w:t>
            </w:r>
          </w:p>
        </w:tc>
        <w:tc>
          <w:tcPr>
            <w:tcW w:w="15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11.16</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11.16</w:t>
            </w:r>
          </w:p>
        </w:tc>
        <w:tc>
          <w:tcPr>
            <w:tcW w:w="13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20805</w:t>
            </w:r>
          </w:p>
        </w:tc>
        <w:tc>
          <w:tcPr>
            <w:tcW w:w="2735"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行政事业单位离退休</w:t>
            </w: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10.93</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10.93</w:t>
            </w:r>
          </w:p>
        </w:tc>
        <w:tc>
          <w:tcPr>
            <w:tcW w:w="137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2080505</w:t>
            </w:r>
          </w:p>
        </w:tc>
        <w:tc>
          <w:tcPr>
            <w:tcW w:w="2735"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机关事业单位基本养老保险缴费支出</w:t>
            </w: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10.93</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10.93</w:t>
            </w:r>
          </w:p>
        </w:tc>
        <w:tc>
          <w:tcPr>
            <w:tcW w:w="137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20899</w:t>
            </w:r>
          </w:p>
        </w:tc>
        <w:tc>
          <w:tcPr>
            <w:tcW w:w="2735"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其他社会保障和就业支出</w:t>
            </w: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137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2089901</w:t>
            </w:r>
          </w:p>
        </w:tc>
        <w:tc>
          <w:tcPr>
            <w:tcW w:w="2735"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其他社会保障和就业支出</w:t>
            </w: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137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w:t>
            </w:r>
          </w:p>
        </w:tc>
        <w:tc>
          <w:tcPr>
            <w:tcW w:w="2735"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医疗卫生与计划生育支出</w:t>
            </w: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37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21011</w:t>
            </w:r>
          </w:p>
        </w:tc>
        <w:tc>
          <w:tcPr>
            <w:tcW w:w="2735"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行政事业单位医疗</w:t>
            </w: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37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2101101</w:t>
            </w:r>
          </w:p>
        </w:tc>
        <w:tc>
          <w:tcPr>
            <w:tcW w:w="2735"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行政单位医疗</w:t>
            </w: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137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450" w:hRule="atLeast"/>
        </w:trPr>
        <w:tc>
          <w:tcPr>
            <w:tcW w:w="1267"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2101103</w:t>
            </w:r>
          </w:p>
        </w:tc>
        <w:tc>
          <w:tcPr>
            <w:tcW w:w="2735" w:type="dxa"/>
            <w:gridSpan w:val="3"/>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公务员医疗补助</w:t>
            </w:r>
          </w:p>
        </w:tc>
        <w:tc>
          <w:tcPr>
            <w:tcW w:w="156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137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34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3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2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182" w:type="dxa"/>
          <w:trHeight w:val="615" w:hRule="atLeast"/>
        </w:trPr>
        <w:tc>
          <w:tcPr>
            <w:tcW w:w="13845" w:type="dxa"/>
            <w:gridSpan w:val="17"/>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752" w:type="dxa"/>
        <w:tblInd w:w="0" w:type="dxa"/>
        <w:tblLayout w:type="fixed"/>
        <w:tblCellMar>
          <w:top w:w="0" w:type="dxa"/>
          <w:left w:w="0" w:type="dxa"/>
          <w:bottom w:w="0" w:type="dxa"/>
          <w:right w:w="0" w:type="dxa"/>
        </w:tblCellMar>
      </w:tblPr>
      <w:tblGrid>
        <w:gridCol w:w="1047"/>
        <w:gridCol w:w="791"/>
        <w:gridCol w:w="50"/>
        <w:gridCol w:w="3029"/>
        <w:gridCol w:w="30"/>
        <w:gridCol w:w="150"/>
        <w:gridCol w:w="1710"/>
        <w:gridCol w:w="30"/>
        <w:gridCol w:w="1515"/>
        <w:gridCol w:w="285"/>
        <w:gridCol w:w="1140"/>
        <w:gridCol w:w="725"/>
        <w:gridCol w:w="565"/>
        <w:gridCol w:w="1005"/>
        <w:gridCol w:w="231"/>
        <w:gridCol w:w="1685"/>
        <w:gridCol w:w="764"/>
      </w:tblGrid>
      <w:tr>
        <w:tblPrEx>
          <w:tblLayout w:type="fixed"/>
          <w:tblCellMar>
            <w:top w:w="0" w:type="dxa"/>
            <w:left w:w="0" w:type="dxa"/>
            <w:bottom w:w="0" w:type="dxa"/>
            <w:right w:w="0" w:type="dxa"/>
          </w:tblCellMar>
        </w:tblPrEx>
        <w:trPr>
          <w:gridAfter w:val="1"/>
          <w:wAfter w:w="764" w:type="dxa"/>
          <w:trHeight w:val="435" w:hRule="atLeast"/>
        </w:trPr>
        <w:tc>
          <w:tcPr>
            <w:tcW w:w="13988"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val="en-US" w:eastAsia="zh-CN"/>
              </w:rPr>
              <w:t>2018年度</w:t>
            </w:r>
            <w:r>
              <w:rPr>
                <w:rFonts w:hint="eastAsia" w:ascii="华文中宋" w:hAnsi="华文中宋" w:eastAsia="华文中宋" w:cs="华文中宋"/>
                <w:color w:val="auto"/>
                <w:kern w:val="0"/>
                <w:sz w:val="32"/>
                <w:szCs w:val="32"/>
              </w:rPr>
              <w:t>支出决算表</w:t>
            </w:r>
          </w:p>
        </w:tc>
      </w:tr>
      <w:tr>
        <w:tblPrEx>
          <w:tblLayout w:type="fixed"/>
          <w:tblCellMar>
            <w:top w:w="0" w:type="dxa"/>
            <w:left w:w="0" w:type="dxa"/>
            <w:bottom w:w="0" w:type="dxa"/>
            <w:right w:w="0" w:type="dxa"/>
          </w:tblCellMar>
        </w:tblPrEx>
        <w:trPr>
          <w:trHeight w:val="285" w:hRule="atLeast"/>
        </w:trPr>
        <w:tc>
          <w:tcPr>
            <w:tcW w:w="1838"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3059"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74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0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6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公开03表</w:t>
            </w:r>
          </w:p>
        </w:tc>
      </w:tr>
      <w:tr>
        <w:tblPrEx>
          <w:tblLayout w:type="fixed"/>
          <w:tblCellMar>
            <w:top w:w="0" w:type="dxa"/>
            <w:left w:w="0" w:type="dxa"/>
            <w:bottom w:w="0" w:type="dxa"/>
            <w:right w:w="0" w:type="dxa"/>
          </w:tblCellMar>
        </w:tblPrEx>
        <w:trPr>
          <w:trHeight w:val="300" w:hRule="atLeast"/>
        </w:trPr>
        <w:tc>
          <w:tcPr>
            <w:tcW w:w="4947" w:type="dxa"/>
            <w:gridSpan w:val="5"/>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auto"/>
                <w:sz w:val="20"/>
                <w:szCs w:val="20"/>
              </w:rPr>
            </w:pPr>
            <w:r>
              <w:rPr>
                <w:rFonts w:hint="eastAsia" w:ascii="宋体" w:hAnsi="宋体" w:cs="宋体"/>
                <w:color w:val="auto"/>
                <w:kern w:val="0"/>
                <w:sz w:val="20"/>
                <w:szCs w:val="20"/>
              </w:rPr>
              <w:t>部门：</w:t>
            </w:r>
            <w:r>
              <w:rPr>
                <w:rFonts w:hint="eastAsia" w:ascii="宋体" w:hAnsi="宋体" w:cs="宋体"/>
                <w:color w:val="auto"/>
                <w:kern w:val="0"/>
                <w:sz w:val="20"/>
                <w:szCs w:val="20"/>
                <w:lang w:eastAsia="zh-CN"/>
              </w:rPr>
              <w:t>中共新乡经济技术开发区纪工委</w:t>
            </w:r>
          </w:p>
        </w:tc>
        <w:tc>
          <w:tcPr>
            <w:tcW w:w="15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74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0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86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Layout w:type="fixed"/>
          <w:tblCellMar>
            <w:top w:w="0" w:type="dxa"/>
            <w:left w:w="0" w:type="dxa"/>
            <w:bottom w:w="0" w:type="dxa"/>
            <w:right w:w="0" w:type="dxa"/>
          </w:tblCellMar>
        </w:tblPrEx>
        <w:trPr>
          <w:gridAfter w:val="1"/>
          <w:wAfter w:w="764" w:type="dxa"/>
          <w:trHeight w:val="450" w:hRule="atLeast"/>
        </w:trPr>
        <w:tc>
          <w:tcPr>
            <w:tcW w:w="4917"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    目</w:t>
            </w:r>
          </w:p>
        </w:tc>
        <w:tc>
          <w:tcPr>
            <w:tcW w:w="1890" w:type="dxa"/>
            <w:gridSpan w:val="3"/>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本年支出合计</w:t>
            </w:r>
          </w:p>
        </w:tc>
        <w:tc>
          <w:tcPr>
            <w:tcW w:w="1545" w:type="dxa"/>
            <w:gridSpan w:val="2"/>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基本支出</w:t>
            </w:r>
          </w:p>
        </w:tc>
        <w:tc>
          <w:tcPr>
            <w:tcW w:w="1425" w:type="dxa"/>
            <w:gridSpan w:val="2"/>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项目支出</w:t>
            </w:r>
          </w:p>
        </w:tc>
        <w:tc>
          <w:tcPr>
            <w:tcW w:w="1290" w:type="dxa"/>
            <w:gridSpan w:val="2"/>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上缴上级支出</w:t>
            </w:r>
          </w:p>
        </w:tc>
        <w:tc>
          <w:tcPr>
            <w:tcW w:w="1005" w:type="dxa"/>
            <w:vMerge w:val="restart"/>
            <w:tcBorders>
              <w:top w:val="single" w:color="000000" w:sz="8"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经营支出</w:t>
            </w:r>
          </w:p>
        </w:tc>
        <w:tc>
          <w:tcPr>
            <w:tcW w:w="1916" w:type="dxa"/>
            <w:gridSpan w:val="2"/>
            <w:vMerge w:val="restart"/>
            <w:tcBorders>
              <w:top w:val="single" w:color="000000" w:sz="8" w:space="0"/>
              <w:left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对附属单位补助支出</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功能分类</w:t>
            </w:r>
          </w:p>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科目编码</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科目名称</w:t>
            </w:r>
          </w:p>
        </w:tc>
        <w:tc>
          <w:tcPr>
            <w:tcW w:w="1890" w:type="dxa"/>
            <w:gridSpan w:val="3"/>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545" w:type="dxa"/>
            <w:gridSpan w:val="2"/>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425" w:type="dxa"/>
            <w:gridSpan w:val="2"/>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290" w:type="dxa"/>
            <w:gridSpan w:val="2"/>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00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916" w:type="dxa"/>
            <w:gridSpan w:val="2"/>
            <w:vMerge w:val="continue"/>
            <w:tcBorders>
              <w:left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764" w:type="dxa"/>
          <w:trHeight w:val="450" w:hRule="atLeast"/>
        </w:trPr>
        <w:tc>
          <w:tcPr>
            <w:tcW w:w="4917"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栏次</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1916"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r>
      <w:tr>
        <w:tblPrEx>
          <w:tblLayout w:type="fixed"/>
          <w:tblCellMar>
            <w:top w:w="0" w:type="dxa"/>
            <w:left w:w="0" w:type="dxa"/>
            <w:bottom w:w="0" w:type="dxa"/>
            <w:right w:w="0" w:type="dxa"/>
          </w:tblCellMar>
        </w:tblPrEx>
        <w:trPr>
          <w:gridAfter w:val="1"/>
          <w:wAfter w:w="764" w:type="dxa"/>
          <w:trHeight w:val="450" w:hRule="atLeast"/>
        </w:trPr>
        <w:tc>
          <w:tcPr>
            <w:tcW w:w="4917"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合计</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208.54</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190.55</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18. 00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一般公共服务支出</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183.60</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165.60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20111</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纪检监察事务</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183.60</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165.60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2011101</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行政运行</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165.25</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165.25</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2011199</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其他纪检监察事务支出</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18.34</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0.35</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社会保障和就业支出</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18.96</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18.96</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20805</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行政事业单位离退休</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18.73</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18.73</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2080505</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机关事业单位基本养老保险缴费支出</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16.50</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2080506</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机关事业单位职业年金缴费支出</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2.23</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2.23</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20899</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其他社会保障和就业支出</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2089901</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其他社会保障和就业支出</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医疗卫生与计划生育支出</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21011</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行政事业单位医疗</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2101101</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行政单位医疗</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29,991.24</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450" w:hRule="atLeast"/>
        </w:trPr>
        <w:tc>
          <w:tcPr>
            <w:tcW w:w="1047" w:type="dxa"/>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2101103</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公务员医疗补助</w:t>
            </w:r>
          </w:p>
        </w:tc>
        <w:tc>
          <w:tcPr>
            <w:tcW w:w="18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29,991.24</w:t>
            </w:r>
          </w:p>
        </w:tc>
        <w:tc>
          <w:tcPr>
            <w:tcW w:w="15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14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2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916"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764" w:type="dxa"/>
          <w:trHeight w:val="630" w:hRule="atLeast"/>
        </w:trPr>
        <w:tc>
          <w:tcPr>
            <w:tcW w:w="13988"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注：本表反映部门本年度各项支出情况。本表金额转换为万元时，因四舍五入可能存在尾差。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3477"/>
        <w:gridCol w:w="525"/>
        <w:gridCol w:w="1922"/>
        <w:gridCol w:w="2863"/>
        <w:gridCol w:w="480"/>
        <w:gridCol w:w="1362"/>
        <w:gridCol w:w="1343"/>
        <w:gridCol w:w="336"/>
        <w:gridCol w:w="1680"/>
      </w:tblGrid>
      <w:tr>
        <w:tblPrEx>
          <w:tblLayout w:type="fixed"/>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val="en-US" w:eastAsia="zh-CN"/>
              </w:rPr>
              <w:t>2018年度</w:t>
            </w:r>
            <w:r>
              <w:rPr>
                <w:rFonts w:hint="eastAsia" w:ascii="华文中宋" w:hAnsi="华文中宋" w:eastAsia="华文中宋" w:cs="华文中宋"/>
                <w:color w:val="auto"/>
                <w:kern w:val="0"/>
                <w:sz w:val="32"/>
                <w:szCs w:val="32"/>
              </w:rPr>
              <w:t>财政拨款收入支出决算总表</w:t>
            </w:r>
          </w:p>
        </w:tc>
      </w:tr>
      <w:tr>
        <w:tblPrEx>
          <w:tblLayout w:type="fixed"/>
          <w:tblCellMar>
            <w:top w:w="0" w:type="dxa"/>
            <w:left w:w="0" w:type="dxa"/>
            <w:bottom w:w="0" w:type="dxa"/>
            <w:right w:w="0" w:type="dxa"/>
          </w:tblCellMar>
        </w:tblPrEx>
        <w:trPr>
          <w:trHeight w:val="199" w:hRule="atLeast"/>
        </w:trPr>
        <w:tc>
          <w:tcPr>
            <w:tcW w:w="3477"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5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92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86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48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36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公开04表</w:t>
            </w:r>
          </w:p>
        </w:tc>
      </w:tr>
      <w:tr>
        <w:tblPrEx>
          <w:tblLayout w:type="fixed"/>
          <w:tblCellMar>
            <w:top w:w="0" w:type="dxa"/>
            <w:left w:w="0" w:type="dxa"/>
            <w:bottom w:w="0" w:type="dxa"/>
            <w:right w:w="0" w:type="dxa"/>
          </w:tblCellMar>
        </w:tblPrEx>
        <w:trPr>
          <w:trHeight w:val="300" w:hRule="atLeast"/>
        </w:trPr>
        <w:tc>
          <w:tcPr>
            <w:tcW w:w="3477"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部门：</w:t>
            </w:r>
            <w:r>
              <w:rPr>
                <w:rFonts w:hint="eastAsia" w:ascii="宋体" w:hAnsi="宋体" w:cs="宋体"/>
                <w:color w:val="auto"/>
                <w:kern w:val="0"/>
                <w:sz w:val="20"/>
                <w:szCs w:val="20"/>
                <w:lang w:eastAsia="zh-CN"/>
              </w:rPr>
              <w:t>中共新乡经济技术开发区纪工委</w:t>
            </w:r>
          </w:p>
        </w:tc>
        <w:tc>
          <w:tcPr>
            <w:tcW w:w="525"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92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86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480"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362"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Layout w:type="fixed"/>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支出</w:t>
            </w:r>
          </w:p>
        </w:tc>
      </w:tr>
      <w:tr>
        <w:tblPrEx>
          <w:tblLayout w:type="fixed"/>
          <w:tblCellMar>
            <w:top w:w="0" w:type="dxa"/>
            <w:left w:w="0" w:type="dxa"/>
            <w:bottom w:w="0" w:type="dxa"/>
            <w:right w:w="0" w:type="dxa"/>
          </w:tblCellMar>
        </w:tblPrEx>
        <w:trPr>
          <w:trHeight w:val="630" w:hRule="atLeast"/>
        </w:trPr>
        <w:tc>
          <w:tcPr>
            <w:tcW w:w="347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行次</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金额</w:t>
            </w:r>
          </w:p>
        </w:tc>
        <w:tc>
          <w:tcPr>
            <w:tcW w:w="28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    目</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行次</w:t>
            </w:r>
          </w:p>
        </w:tc>
        <w:tc>
          <w:tcPr>
            <w:tcW w:w="13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政府性基金预算财政拨款</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8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栏    次</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3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一、一般公共预算财政拨款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193.57</w:t>
            </w:r>
          </w:p>
        </w:tc>
        <w:tc>
          <w:tcPr>
            <w:tcW w:w="28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一、一般公共服务支出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28</w:t>
            </w:r>
          </w:p>
        </w:tc>
        <w:tc>
          <w:tcPr>
            <w:tcW w:w="136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183.58</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183.58</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二、政府性基金预算财政拨款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28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二、外交支出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29</w:t>
            </w:r>
          </w:p>
        </w:tc>
        <w:tc>
          <w:tcPr>
            <w:tcW w:w="136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三、国防支出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30</w:t>
            </w:r>
          </w:p>
        </w:tc>
        <w:tc>
          <w:tcPr>
            <w:tcW w:w="136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4</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四、公共安全支出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31</w:t>
            </w:r>
          </w:p>
        </w:tc>
        <w:tc>
          <w:tcPr>
            <w:tcW w:w="136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五、教育支出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32</w:t>
            </w:r>
          </w:p>
        </w:tc>
        <w:tc>
          <w:tcPr>
            <w:tcW w:w="136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6</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六、科学技术支出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33</w:t>
            </w:r>
          </w:p>
        </w:tc>
        <w:tc>
          <w:tcPr>
            <w:tcW w:w="136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7</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七、文化体育与传媒支出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34</w:t>
            </w:r>
          </w:p>
        </w:tc>
        <w:tc>
          <w:tcPr>
            <w:tcW w:w="136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8</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八、社会保障和就业支出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35</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18.96</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18.96</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9</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九、医疗卫生与计划生育支出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36</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10</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十、节能环保支出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37</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十一、城乡社区支出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38</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12</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十二、农林水支出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39</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13</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十三、交通运输支出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40</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14</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十四、资源勘探信息等支出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41</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15</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十五、商业服务业等支出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42</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16</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十六、金融支出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43</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17</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十七、援助其他地区支出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44</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18</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十八、国土海洋气象等支出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45</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19</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十九、住房保障支出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46</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20</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二十、粮油物资储备支出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47</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21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二十一、其他支出</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2"/>
              </w:rPr>
              <w:t>48</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2"/>
              </w:rPr>
              <w:t>本年收入合计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22</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193.57</w:t>
            </w: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2"/>
              </w:rPr>
              <w:t>本年支出合计</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49</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208.54</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208.54</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b/>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年初财政拨款结转和结余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23</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20.87</w:t>
            </w: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年末财政拨款结转和结余</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50</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58,967.91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一般公共预算财政拨款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24</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20.87</w:t>
            </w:r>
          </w:p>
        </w:tc>
        <w:tc>
          <w:tcPr>
            <w:tcW w:w="286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51</w:t>
            </w:r>
          </w:p>
        </w:tc>
        <w:tc>
          <w:tcPr>
            <w:tcW w:w="1362"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ascii="宋体" w:hAnsi="宋体" w:cs="宋体"/>
                <w:color w:val="auto"/>
                <w:sz w:val="20"/>
                <w:szCs w:val="20"/>
              </w:rPr>
            </w:pP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政府性基金预算财政拨款</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25</w:t>
            </w:r>
          </w:p>
        </w:tc>
        <w:tc>
          <w:tcPr>
            <w:tcW w:w="192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286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52</w:t>
            </w:r>
          </w:p>
        </w:tc>
        <w:tc>
          <w:tcPr>
            <w:tcW w:w="1362" w:type="dxa"/>
            <w:tcBorders>
              <w:top w:val="single" w:color="000000" w:sz="4" w:space="0"/>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80" w:type="dxa"/>
            <w:tcBorders>
              <w:top w:val="single" w:color="000000" w:sz="4" w:space="0"/>
              <w:left w:val="nil"/>
              <w:bottom w:val="nil"/>
              <w:right w:val="single" w:color="000000" w:sz="8" w:space="0"/>
            </w:tcBorders>
            <w:tcMar>
              <w:top w:w="15" w:type="dxa"/>
              <w:left w:w="15" w:type="dxa"/>
              <w:right w:w="15" w:type="dxa"/>
            </w:tcMar>
            <w:vAlign w:val="center"/>
          </w:tcPr>
          <w:p>
            <w:pPr>
              <w:jc w:val="right"/>
              <w:rPr>
                <w:rFonts w:ascii="宋体" w:hAnsi="宋体" w:cs="宋体"/>
                <w:color w:val="auto"/>
                <w:sz w:val="20"/>
                <w:szCs w:val="20"/>
              </w:rPr>
            </w:pP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26</w:t>
            </w:r>
          </w:p>
        </w:tc>
        <w:tc>
          <w:tcPr>
            <w:tcW w:w="192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rPr>
            </w:pPr>
          </w:p>
        </w:tc>
        <w:tc>
          <w:tcPr>
            <w:tcW w:w="286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ascii="宋体" w:hAnsi="宋体" w:cs="宋体"/>
                <w:color w:val="auto"/>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53</w:t>
            </w:r>
          </w:p>
        </w:tc>
        <w:tc>
          <w:tcPr>
            <w:tcW w:w="1362" w:type="dxa"/>
            <w:tcBorders>
              <w:top w:val="single" w:color="000000" w:sz="4" w:space="0"/>
              <w:left w:val="nil"/>
              <w:bottom w:val="nil"/>
              <w:right w:val="nil"/>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auto"/>
                <w:sz w:val="20"/>
                <w:szCs w:val="20"/>
              </w:rPr>
            </w:pPr>
          </w:p>
        </w:tc>
        <w:tc>
          <w:tcPr>
            <w:tcW w:w="1680" w:type="dxa"/>
            <w:tcBorders>
              <w:top w:val="single" w:color="000000" w:sz="4" w:space="0"/>
              <w:left w:val="nil"/>
              <w:bottom w:val="nil"/>
              <w:right w:val="single" w:color="000000" w:sz="8" w:space="0"/>
            </w:tcBorders>
            <w:tcMar>
              <w:top w:w="15" w:type="dxa"/>
              <w:left w:w="15" w:type="dxa"/>
              <w:right w:w="15" w:type="dxa"/>
            </w:tcMar>
            <w:vAlign w:val="center"/>
          </w:tcPr>
          <w:p>
            <w:pPr>
              <w:jc w:val="right"/>
              <w:rPr>
                <w:rFonts w:ascii="宋体" w:hAnsi="宋体" w:cs="宋体"/>
                <w:color w:val="auto"/>
                <w:sz w:val="20"/>
                <w:szCs w:val="20"/>
              </w:rPr>
            </w:pPr>
          </w:p>
        </w:tc>
      </w:tr>
      <w:tr>
        <w:tblPrEx>
          <w:tblLayout w:type="fixed"/>
          <w:tblCellMar>
            <w:top w:w="0" w:type="dxa"/>
            <w:left w:w="0" w:type="dxa"/>
            <w:bottom w:w="0" w:type="dxa"/>
            <w:right w:w="0" w:type="dxa"/>
          </w:tblCellMar>
        </w:tblPrEx>
        <w:trPr>
          <w:trHeight w:val="402" w:hRule="atLeast"/>
        </w:trPr>
        <w:tc>
          <w:tcPr>
            <w:tcW w:w="3477"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2"/>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27</w:t>
            </w:r>
          </w:p>
        </w:tc>
        <w:tc>
          <w:tcPr>
            <w:tcW w:w="192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214.44</w:t>
            </w:r>
          </w:p>
        </w:tc>
        <w:tc>
          <w:tcPr>
            <w:tcW w:w="2863"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2"/>
              </w:rPr>
              <w:t>总计</w:t>
            </w:r>
          </w:p>
        </w:tc>
        <w:tc>
          <w:tcPr>
            <w:tcW w:w="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54</w:t>
            </w:r>
          </w:p>
        </w:tc>
        <w:tc>
          <w:tcPr>
            <w:tcW w:w="1362" w:type="dxa"/>
            <w:tcBorders>
              <w:top w:val="single" w:color="000000" w:sz="4" w:space="0"/>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214.44</w:t>
            </w: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214.44</w:t>
            </w:r>
          </w:p>
        </w:tc>
        <w:tc>
          <w:tcPr>
            <w:tcW w:w="1680"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b/>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注：本表反映部门本年度一般公共预算财政拨款和政府性基金预算财政拨款的总收支和年末结转结余情况。本表金额转换为万元时，因四舍五入可能存在尾差。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18" w:type="dxa"/>
        <w:tblInd w:w="0" w:type="dxa"/>
        <w:tblLayout w:type="fixed"/>
        <w:tblCellMar>
          <w:top w:w="0" w:type="dxa"/>
          <w:left w:w="0" w:type="dxa"/>
          <w:bottom w:w="0" w:type="dxa"/>
          <w:right w:w="0" w:type="dxa"/>
        </w:tblCellMar>
      </w:tblPr>
      <w:tblGrid>
        <w:gridCol w:w="1414"/>
        <w:gridCol w:w="586"/>
        <w:gridCol w:w="142"/>
        <w:gridCol w:w="3090"/>
        <w:gridCol w:w="30"/>
        <w:gridCol w:w="2220"/>
        <w:gridCol w:w="30"/>
        <w:gridCol w:w="3285"/>
        <w:gridCol w:w="30"/>
        <w:gridCol w:w="3161"/>
        <w:gridCol w:w="30"/>
      </w:tblGrid>
      <w:tr>
        <w:tblPrEx>
          <w:tblLayout w:type="fixed"/>
          <w:tblCellMar>
            <w:top w:w="0" w:type="dxa"/>
            <w:left w:w="0" w:type="dxa"/>
            <w:bottom w:w="0" w:type="dxa"/>
            <w:right w:w="0" w:type="dxa"/>
          </w:tblCellMar>
        </w:tblPrEx>
        <w:trPr>
          <w:gridAfter w:val="1"/>
          <w:wAfter w:w="30" w:type="dxa"/>
          <w:trHeight w:val="600" w:hRule="atLeast"/>
        </w:trPr>
        <w:tc>
          <w:tcPr>
            <w:tcW w:w="13988" w:type="dxa"/>
            <w:gridSpan w:val="10"/>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val="en-US" w:eastAsia="zh-CN"/>
              </w:rPr>
              <w:t>2018年度</w:t>
            </w:r>
            <w:r>
              <w:rPr>
                <w:rFonts w:hint="eastAsia" w:ascii="华文中宋" w:hAnsi="华文中宋" w:eastAsia="华文中宋" w:cs="华文中宋"/>
                <w:color w:val="auto"/>
                <w:kern w:val="0"/>
                <w:sz w:val="32"/>
                <w:szCs w:val="32"/>
              </w:rPr>
              <w:t>一般公共预算财政拨款支出决算表</w:t>
            </w:r>
          </w:p>
        </w:tc>
      </w:tr>
      <w:tr>
        <w:tblPrEx>
          <w:tblLayout w:type="fixed"/>
          <w:tblCellMar>
            <w:top w:w="0" w:type="dxa"/>
            <w:left w:w="0" w:type="dxa"/>
            <w:bottom w:w="0" w:type="dxa"/>
            <w:right w:w="0" w:type="dxa"/>
          </w:tblCellMar>
        </w:tblPrEx>
        <w:trPr>
          <w:trHeight w:val="222" w:hRule="atLeast"/>
        </w:trPr>
        <w:tc>
          <w:tcPr>
            <w:tcW w:w="200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4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312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225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3315"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319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公开0</w:t>
            </w:r>
            <w:r>
              <w:rPr>
                <w:rStyle w:val="9"/>
                <w:rFonts w:hint="default"/>
                <w:color w:val="auto"/>
              </w:rPr>
              <w:t>5表</w:t>
            </w:r>
          </w:p>
        </w:tc>
      </w:tr>
      <w:tr>
        <w:tblPrEx>
          <w:tblLayout w:type="fixed"/>
          <w:tblCellMar>
            <w:top w:w="0" w:type="dxa"/>
            <w:left w:w="0" w:type="dxa"/>
            <w:bottom w:w="0" w:type="dxa"/>
            <w:right w:w="0" w:type="dxa"/>
          </w:tblCellMar>
        </w:tblPrEx>
        <w:trPr>
          <w:trHeight w:val="300" w:hRule="atLeast"/>
        </w:trPr>
        <w:tc>
          <w:tcPr>
            <w:tcW w:w="5262" w:type="dxa"/>
            <w:gridSpan w:val="5"/>
            <w:tcBorders>
              <w:top w:val="nil"/>
              <w:left w:val="nil"/>
              <w:bottom w:val="nil"/>
              <w:right w:val="nil"/>
            </w:tcBorders>
            <w:shd w:val="clear" w:color="auto" w:fill="FFFFFF"/>
            <w:tcMar>
              <w:top w:w="15" w:type="dxa"/>
              <w:left w:w="15" w:type="dxa"/>
              <w:right w:w="15" w:type="dxa"/>
            </w:tcMar>
            <w:vAlign w:val="center"/>
          </w:tcPr>
          <w:p>
            <w:pPr>
              <w:jc w:val="left"/>
              <w:rPr>
                <w:rFonts w:ascii="宋体" w:hAnsi="宋体" w:cs="宋体"/>
                <w:color w:val="auto"/>
                <w:sz w:val="20"/>
                <w:szCs w:val="20"/>
              </w:rPr>
            </w:pPr>
            <w:r>
              <w:rPr>
                <w:rFonts w:hint="eastAsia" w:ascii="宋体" w:hAnsi="宋体" w:cs="宋体"/>
                <w:color w:val="auto"/>
                <w:kern w:val="0"/>
                <w:sz w:val="20"/>
                <w:szCs w:val="20"/>
              </w:rPr>
              <w:t>部门：</w:t>
            </w:r>
            <w:r>
              <w:rPr>
                <w:rFonts w:hint="eastAsia" w:ascii="宋体" w:hAnsi="宋体" w:cs="宋体"/>
                <w:color w:val="auto"/>
                <w:kern w:val="0"/>
                <w:sz w:val="20"/>
                <w:szCs w:val="20"/>
                <w:lang w:eastAsia="zh-CN"/>
              </w:rPr>
              <w:t>中共新乡经济技术开发区纪工委</w:t>
            </w:r>
          </w:p>
        </w:tc>
        <w:tc>
          <w:tcPr>
            <w:tcW w:w="2250"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3315"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319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Layout w:type="fixed"/>
          <w:tblCellMar>
            <w:top w:w="0" w:type="dxa"/>
            <w:left w:w="0" w:type="dxa"/>
            <w:bottom w:w="0" w:type="dxa"/>
            <w:right w:w="0" w:type="dxa"/>
          </w:tblCellMar>
        </w:tblPrEx>
        <w:trPr>
          <w:gridAfter w:val="1"/>
          <w:wAfter w:w="30" w:type="dxa"/>
          <w:trHeight w:val="405" w:hRule="atLeast"/>
        </w:trPr>
        <w:tc>
          <w:tcPr>
            <w:tcW w:w="5232" w:type="dxa"/>
            <w:gridSpan w:val="4"/>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 xml:space="preserve">项 </w:t>
            </w:r>
            <w:r>
              <w:rPr>
                <w:rStyle w:val="11"/>
                <w:rFonts w:hint="default"/>
                <w:color w:val="auto"/>
                <w:sz w:val="20"/>
                <w:szCs w:val="20"/>
              </w:rPr>
              <w:t>目</w:t>
            </w:r>
          </w:p>
        </w:tc>
        <w:tc>
          <w:tcPr>
            <w:tcW w:w="875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本年支出</w:t>
            </w:r>
          </w:p>
        </w:tc>
      </w:tr>
      <w:tr>
        <w:tblPrEx>
          <w:tblLayout w:type="fixed"/>
          <w:tblCellMar>
            <w:top w:w="0" w:type="dxa"/>
            <w:left w:w="0" w:type="dxa"/>
            <w:bottom w:w="0" w:type="dxa"/>
            <w:right w:w="0" w:type="dxa"/>
          </w:tblCellMar>
        </w:tblPrEx>
        <w:trPr>
          <w:gridAfter w:val="1"/>
          <w:wAfter w:w="30" w:type="dxa"/>
          <w:trHeight w:val="495" w:hRule="atLeast"/>
        </w:trPr>
        <w:tc>
          <w:tcPr>
            <w:tcW w:w="1414"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功能分类</w:t>
            </w:r>
          </w:p>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科目编码</w:t>
            </w:r>
          </w:p>
        </w:tc>
        <w:tc>
          <w:tcPr>
            <w:tcW w:w="3818"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科目名称</w:t>
            </w:r>
          </w:p>
        </w:tc>
        <w:tc>
          <w:tcPr>
            <w:tcW w:w="2250"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小计</w:t>
            </w:r>
          </w:p>
        </w:tc>
        <w:tc>
          <w:tcPr>
            <w:tcW w:w="3315"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基本支出</w:t>
            </w:r>
          </w:p>
        </w:tc>
        <w:tc>
          <w:tcPr>
            <w:tcW w:w="3191" w:type="dxa"/>
            <w:gridSpan w:val="2"/>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项目支出</w:t>
            </w:r>
          </w:p>
        </w:tc>
      </w:tr>
      <w:tr>
        <w:tblPrEx>
          <w:tblLayout w:type="fixed"/>
          <w:tblCellMar>
            <w:top w:w="0" w:type="dxa"/>
            <w:left w:w="0" w:type="dxa"/>
            <w:bottom w:w="0" w:type="dxa"/>
            <w:right w:w="0" w:type="dxa"/>
          </w:tblCellMar>
        </w:tblPrEx>
        <w:trPr>
          <w:gridAfter w:val="1"/>
          <w:wAfter w:w="30" w:type="dxa"/>
          <w:trHeight w:val="360" w:hRule="atLeast"/>
        </w:trPr>
        <w:tc>
          <w:tcPr>
            <w:tcW w:w="1414"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381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2250"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3315"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3191"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450" w:hRule="atLeast"/>
        </w:trPr>
        <w:tc>
          <w:tcPr>
            <w:tcW w:w="1414"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381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2250"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3315"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3191"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450" w:hRule="atLeast"/>
        </w:trPr>
        <w:tc>
          <w:tcPr>
            <w:tcW w:w="5232" w:type="dxa"/>
            <w:gridSpan w:val="4"/>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栏次</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r>
      <w:tr>
        <w:tblPrEx>
          <w:tblLayout w:type="fixed"/>
          <w:tblCellMar>
            <w:top w:w="0" w:type="dxa"/>
            <w:left w:w="0" w:type="dxa"/>
            <w:bottom w:w="0" w:type="dxa"/>
            <w:right w:w="0" w:type="dxa"/>
          </w:tblCellMar>
        </w:tblPrEx>
        <w:trPr>
          <w:gridAfter w:val="1"/>
          <w:wAfter w:w="30" w:type="dxa"/>
          <w:trHeight w:val="450" w:hRule="atLeast"/>
        </w:trPr>
        <w:tc>
          <w:tcPr>
            <w:tcW w:w="5232" w:type="dxa"/>
            <w:gridSpan w:val="4"/>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合计</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208.54</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190.55</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b/>
                <w:color w:val="auto"/>
                <w:kern w:val="0"/>
                <w:sz w:val="22"/>
              </w:rPr>
              <w:t>18.00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一般公共服务支出</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183.58</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165.60</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20111</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纪检监察事务</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183.58</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165.60</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2011101</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行政运行</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165.25</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165.25</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2011199</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其他纪检监察事务支出</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18.34</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0.35</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社会保障和就业支出</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18.96</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18.96</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20805</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行政事业单位离退休</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18.73</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18.73</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2080505</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机关事业单位基本养老保险缴费支出</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16.50</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16.50</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2080506</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机关事业单位职业年金缴费支出</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2.23</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2.23</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20899</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其他社会保障和就业支出</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2089901</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其他社会保障和就业支出</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医疗卫生与计划生育支出</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21011</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行政事业单位医疗</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6.00</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2101101</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行政单位医疗</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450" w:hRule="atLeast"/>
        </w:trPr>
        <w:tc>
          <w:tcPr>
            <w:tcW w:w="1414"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2101103</w:t>
            </w:r>
          </w:p>
        </w:tc>
        <w:tc>
          <w:tcPr>
            <w:tcW w:w="38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公务员医疗补助</w:t>
            </w:r>
          </w:p>
        </w:tc>
        <w:tc>
          <w:tcPr>
            <w:tcW w:w="22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3191"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gridAfter w:val="1"/>
          <w:wAfter w:w="30" w:type="dxa"/>
          <w:trHeight w:val="645" w:hRule="atLeast"/>
        </w:trPr>
        <w:tc>
          <w:tcPr>
            <w:tcW w:w="13988"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642"/>
        <w:gridCol w:w="3240"/>
        <w:gridCol w:w="1425"/>
        <w:gridCol w:w="585"/>
        <w:gridCol w:w="2175"/>
        <w:gridCol w:w="1065"/>
        <w:gridCol w:w="615"/>
        <w:gridCol w:w="3180"/>
        <w:gridCol w:w="1061"/>
      </w:tblGrid>
      <w:tr>
        <w:tblPrEx>
          <w:tblLayout w:type="fixed"/>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val="en-US" w:eastAsia="zh-CN"/>
              </w:rPr>
              <w:t>2018年度</w:t>
            </w:r>
            <w:r>
              <w:rPr>
                <w:rFonts w:hint="eastAsia" w:ascii="华文中宋" w:hAnsi="华文中宋" w:eastAsia="华文中宋" w:cs="华文中宋"/>
                <w:color w:val="auto"/>
                <w:kern w:val="0"/>
                <w:sz w:val="32"/>
                <w:szCs w:val="32"/>
              </w:rPr>
              <w:t>一般公共预算财政拨款基本支出决算表</w:t>
            </w:r>
          </w:p>
        </w:tc>
      </w:tr>
      <w:tr>
        <w:tblPrEx>
          <w:tblLayout w:type="fixed"/>
          <w:tblCellMar>
            <w:top w:w="0" w:type="dxa"/>
            <w:left w:w="0" w:type="dxa"/>
            <w:bottom w:w="0" w:type="dxa"/>
            <w:right w:w="0" w:type="dxa"/>
          </w:tblCellMar>
        </w:tblPrEx>
        <w:trPr>
          <w:trHeight w:val="405" w:hRule="atLeast"/>
        </w:trPr>
        <w:tc>
          <w:tcPr>
            <w:tcW w:w="64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324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4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58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21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06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61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318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06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公开06表</w:t>
            </w:r>
          </w:p>
        </w:tc>
      </w:tr>
      <w:tr>
        <w:tblPrEx>
          <w:tblLayout w:type="fixed"/>
          <w:tblCellMar>
            <w:top w:w="0" w:type="dxa"/>
            <w:left w:w="0" w:type="dxa"/>
            <w:bottom w:w="0" w:type="dxa"/>
            <w:right w:w="0" w:type="dxa"/>
          </w:tblCellMar>
        </w:tblPrEx>
        <w:trPr>
          <w:trHeight w:val="300" w:hRule="atLeast"/>
        </w:trPr>
        <w:tc>
          <w:tcPr>
            <w:tcW w:w="642" w:type="dxa"/>
            <w:tcBorders>
              <w:top w:val="nil"/>
              <w:left w:val="nil"/>
              <w:bottom w:val="nil"/>
              <w:right w:val="nil"/>
            </w:tcBorders>
            <w:tcMar>
              <w:top w:w="15" w:type="dxa"/>
              <w:left w:w="15" w:type="dxa"/>
              <w:right w:w="15" w:type="dxa"/>
            </w:tcMar>
            <w:vAlign w:val="center"/>
          </w:tcPr>
          <w:p>
            <w:pPr>
              <w:widowControl/>
              <w:jc w:val="left"/>
              <w:textAlignment w:val="center"/>
              <w:rPr>
                <w:rFonts w:ascii="Arial" w:hAnsi="Arial" w:cs="Arial"/>
                <w:color w:val="auto"/>
                <w:sz w:val="20"/>
                <w:szCs w:val="20"/>
              </w:rPr>
            </w:pPr>
            <w:r>
              <w:rPr>
                <w:rFonts w:ascii="Arial" w:hAnsi="Arial" w:cs="Arial"/>
                <w:color w:val="auto"/>
                <w:kern w:val="0"/>
                <w:sz w:val="20"/>
                <w:szCs w:val="20"/>
              </w:rPr>
              <w:t>部门：</w:t>
            </w:r>
          </w:p>
        </w:tc>
        <w:tc>
          <w:tcPr>
            <w:tcW w:w="3240"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r>
              <w:rPr>
                <w:rFonts w:hint="eastAsia" w:ascii="宋体" w:hAnsi="宋体" w:cs="宋体"/>
                <w:color w:val="auto"/>
                <w:kern w:val="0"/>
                <w:sz w:val="20"/>
                <w:szCs w:val="20"/>
                <w:lang w:eastAsia="zh-CN"/>
              </w:rPr>
              <w:t>中共新乡经济技术开发区纪工委</w:t>
            </w:r>
          </w:p>
        </w:tc>
        <w:tc>
          <w:tcPr>
            <w:tcW w:w="1425"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585"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2175"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1065"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615"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3180" w:type="dxa"/>
            <w:tcBorders>
              <w:top w:val="nil"/>
              <w:left w:val="nil"/>
              <w:bottom w:val="nil"/>
              <w:right w:val="nil"/>
            </w:tcBorders>
            <w:tcMar>
              <w:top w:w="15" w:type="dxa"/>
              <w:left w:w="15" w:type="dxa"/>
              <w:right w:w="15" w:type="dxa"/>
            </w:tcMar>
            <w:vAlign w:val="center"/>
          </w:tcPr>
          <w:p>
            <w:pPr>
              <w:rPr>
                <w:rFonts w:ascii="Arial" w:hAnsi="Arial" w:cs="Arial"/>
                <w:color w:val="auto"/>
                <w:sz w:val="20"/>
                <w:szCs w:val="20"/>
              </w:rPr>
            </w:pPr>
          </w:p>
        </w:tc>
        <w:tc>
          <w:tcPr>
            <w:tcW w:w="1061" w:type="dxa"/>
            <w:tcBorders>
              <w:top w:val="nil"/>
              <w:left w:val="nil"/>
              <w:bottom w:val="nil"/>
              <w:right w:val="nil"/>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Layout w:type="fixed"/>
          <w:tblCellMar>
            <w:top w:w="0" w:type="dxa"/>
            <w:left w:w="0" w:type="dxa"/>
            <w:bottom w:w="0" w:type="dxa"/>
            <w:right w:w="0" w:type="dxa"/>
          </w:tblCellMar>
        </w:tblPrEx>
        <w:trPr>
          <w:trHeight w:val="911" w:hRule="atLeast"/>
        </w:trPr>
        <w:tc>
          <w:tcPr>
            <w:tcW w:w="642"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经济分类科目编码</w:t>
            </w:r>
          </w:p>
        </w:tc>
        <w:tc>
          <w:tcPr>
            <w:tcW w:w="3240"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科目名称</w:t>
            </w:r>
          </w:p>
        </w:tc>
        <w:tc>
          <w:tcPr>
            <w:tcW w:w="142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决算数</w:t>
            </w:r>
          </w:p>
        </w:tc>
        <w:tc>
          <w:tcPr>
            <w:tcW w:w="585"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经济分类科目编码</w:t>
            </w:r>
          </w:p>
        </w:tc>
        <w:tc>
          <w:tcPr>
            <w:tcW w:w="21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科目名称</w:t>
            </w:r>
          </w:p>
        </w:tc>
        <w:tc>
          <w:tcPr>
            <w:tcW w:w="106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决算数</w:t>
            </w:r>
          </w:p>
        </w:tc>
        <w:tc>
          <w:tcPr>
            <w:tcW w:w="615"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经济分类科目编码</w:t>
            </w:r>
          </w:p>
        </w:tc>
        <w:tc>
          <w:tcPr>
            <w:tcW w:w="3180"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科目名称</w:t>
            </w:r>
          </w:p>
        </w:tc>
        <w:tc>
          <w:tcPr>
            <w:tcW w:w="1061"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决算数</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工资福利支出</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187.36</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商品和服务支出</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2.85</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307</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债务利息及费用支出</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30101</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基本工资</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134.51</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30201</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办公费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1.06</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30701</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国内债务付息</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30102</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津贴补贴</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30202</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印刷费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0.27</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30702</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国外债务付息</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30103</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奖金</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20.60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30203</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咨询费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资本性支出</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0.35</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30106</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伙食补助费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30204</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手续费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31001</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房屋建筑物购建</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30107</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绩效工资</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30205</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水费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31002</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办公设备购置</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0.35</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30108</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机关事业单位基本养老保险缴费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16.50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30206</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电费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31003</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专用设备购置</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30109</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职业年金缴费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2.87</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30207</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邮电费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31005</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基础设施建设</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30110</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职工基本医疗保险缴费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30208</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取暖费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31006</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大型修缮</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30111</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公务员医疗补助缴费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30209</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物业管理费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31007</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信息网络及软件购置更新</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30112</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其他社会保障缴费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0.23</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30211</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差旅费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31008</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物资储备</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30113</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住房公积金</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6.67</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30212</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因公出国（境）费用</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31009</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土地补偿</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30114</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医疗费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30213</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维修（护）费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31010</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安置补助</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30199</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其他工资福利支出</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30214</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租赁费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31011</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地上附着物和青苗补偿</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对个人和家庭的补助</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30215</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会议费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31012</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拆迁补偿</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30301</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离休费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30216</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培训费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31013</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公务用车购置</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30302</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退休费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30217</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公务接待费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31019</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其他交通工具购置</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30303</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退职（役）费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30218</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专用材料费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31021</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文物和陈列品购置</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30304</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抚恤金</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30224</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被装购置费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31022</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无形资产购置</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30305</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生活补助</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30225</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专用燃料费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31099</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其他资本性支出</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30306</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救济费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30226</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劳务费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399</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其他支出</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30307</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医疗费补助</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30227</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委托业务费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39906</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赠与</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30308</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助学金</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30228</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工会经费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0.93</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39907</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国家赔偿费用支出</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30309</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奖励金</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30229</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福利费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39908</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对民间非营利组织和群众性自治组织补贴</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30310</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个人农业生产补贴</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30231</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公务用车运行维护费</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0.59</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39999</w:t>
            </w: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其他支出</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30399</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其他对个人和家庭的补助支出</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30239</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其他交通费用</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0"/>
                <w:szCs w:val="20"/>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0"/>
                <w:szCs w:val="20"/>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rPr>
            </w:pP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30240</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税金及附加费用</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Layout w:type="fixed"/>
          <w:tblCellMar>
            <w:top w:w="0" w:type="dxa"/>
            <w:left w:w="0" w:type="dxa"/>
            <w:bottom w:w="0" w:type="dxa"/>
            <w:right w:w="0" w:type="dxa"/>
          </w:tblCellMar>
        </w:tblPrEx>
        <w:trPr>
          <w:trHeight w:val="252" w:hRule="atLeast"/>
        </w:trPr>
        <w:tc>
          <w:tcPr>
            <w:tcW w:w="642"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0"/>
                <w:szCs w:val="20"/>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0"/>
                <w:szCs w:val="20"/>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auto"/>
                <w:sz w:val="20"/>
                <w:szCs w:val="20"/>
              </w:rPr>
            </w:pPr>
          </w:p>
        </w:tc>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30299</w:t>
            </w: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2"/>
              </w:rPr>
              <w:t xml:space="preserve">  其他商品和服务支出</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0.00</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p>
        </w:tc>
        <w:tc>
          <w:tcPr>
            <w:tcW w:w="3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0"/>
                <w:szCs w:val="20"/>
              </w:rPr>
            </w:pP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Layout w:type="fixed"/>
          <w:tblCellMar>
            <w:top w:w="0" w:type="dxa"/>
            <w:left w:w="0" w:type="dxa"/>
            <w:bottom w:w="0" w:type="dxa"/>
            <w:right w:w="0" w:type="dxa"/>
          </w:tblCellMar>
        </w:tblPrEx>
        <w:trPr>
          <w:trHeight w:val="252" w:hRule="atLeast"/>
        </w:trPr>
        <w:tc>
          <w:tcPr>
            <w:tcW w:w="3882"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人员经费合计</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187.36</w:t>
            </w:r>
          </w:p>
        </w:tc>
        <w:tc>
          <w:tcPr>
            <w:tcW w:w="762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公用经费合计</w:t>
            </w:r>
          </w:p>
        </w:tc>
        <w:tc>
          <w:tcPr>
            <w:tcW w:w="10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2"/>
              </w:rPr>
              <w:t>3.20</w:t>
            </w:r>
          </w:p>
        </w:tc>
      </w:tr>
      <w:tr>
        <w:tblPrEx>
          <w:tblLayout w:type="fixed"/>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807" w:type="dxa"/>
        <w:tblInd w:w="0" w:type="dxa"/>
        <w:tblLayout w:type="fixed"/>
        <w:tblCellMar>
          <w:top w:w="0" w:type="dxa"/>
          <w:left w:w="0" w:type="dxa"/>
          <w:bottom w:w="0" w:type="dxa"/>
          <w:right w:w="0" w:type="dxa"/>
        </w:tblCellMar>
      </w:tblPr>
      <w:tblGrid>
        <w:gridCol w:w="1151"/>
        <w:gridCol w:w="707"/>
        <w:gridCol w:w="442"/>
        <w:gridCol w:w="1150"/>
        <w:gridCol w:w="1150"/>
        <w:gridCol w:w="1151"/>
        <w:gridCol w:w="1150"/>
        <w:gridCol w:w="1151"/>
        <w:gridCol w:w="1151"/>
        <w:gridCol w:w="1151"/>
        <w:gridCol w:w="1151"/>
        <w:gridCol w:w="1151"/>
        <w:gridCol w:w="1151"/>
      </w:tblGrid>
      <w:tr>
        <w:tblPrEx>
          <w:tblLayout w:type="fixed"/>
          <w:tblCellMar>
            <w:top w:w="0" w:type="dxa"/>
            <w:left w:w="0" w:type="dxa"/>
            <w:bottom w:w="0" w:type="dxa"/>
            <w:right w:w="0" w:type="dxa"/>
          </w:tblCellMar>
        </w:tblPrEx>
        <w:trPr>
          <w:trHeight w:val="600" w:hRule="atLeast"/>
        </w:trPr>
        <w:tc>
          <w:tcPr>
            <w:tcW w:w="13807" w:type="dxa"/>
            <w:gridSpan w:val="1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val="en-US" w:eastAsia="zh-CN"/>
              </w:rPr>
              <w:t>2018年度</w:t>
            </w:r>
            <w:r>
              <w:rPr>
                <w:rFonts w:hint="eastAsia" w:ascii="华文中宋" w:hAnsi="华文中宋" w:eastAsia="华文中宋" w:cs="华文中宋"/>
                <w:color w:val="auto"/>
                <w:kern w:val="0"/>
                <w:sz w:val="32"/>
                <w:szCs w:val="32"/>
              </w:rPr>
              <w:t>一般公共预算财政拨款“三公”经费支出决算表</w:t>
            </w:r>
          </w:p>
        </w:tc>
      </w:tr>
      <w:tr>
        <w:tblPrEx>
          <w:tblLayout w:type="fixed"/>
          <w:tblCellMar>
            <w:top w:w="0" w:type="dxa"/>
            <w:left w:w="0" w:type="dxa"/>
            <w:bottom w:w="0" w:type="dxa"/>
            <w:right w:w="0" w:type="dxa"/>
          </w:tblCellMar>
        </w:tblPrEx>
        <w:trPr>
          <w:trHeight w:val="222" w:hRule="atLeast"/>
        </w:trPr>
        <w:tc>
          <w:tcPr>
            <w:tcW w:w="1858"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442"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公开07表</w:t>
            </w:r>
          </w:p>
        </w:tc>
      </w:tr>
      <w:tr>
        <w:tblPrEx>
          <w:tblLayout w:type="fixed"/>
          <w:tblCellMar>
            <w:top w:w="0" w:type="dxa"/>
            <w:left w:w="0" w:type="dxa"/>
            <w:bottom w:w="0" w:type="dxa"/>
            <w:right w:w="0" w:type="dxa"/>
          </w:tblCellMar>
        </w:tblPrEx>
        <w:trPr>
          <w:trHeight w:val="300" w:hRule="atLeast"/>
        </w:trPr>
        <w:tc>
          <w:tcPr>
            <w:tcW w:w="3450" w:type="dxa"/>
            <w:gridSpan w:val="4"/>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kern w:val="0"/>
                <w:sz w:val="20"/>
                <w:szCs w:val="20"/>
              </w:rPr>
              <w:t>部门：</w:t>
            </w:r>
            <w:r>
              <w:rPr>
                <w:rFonts w:hint="eastAsia" w:ascii="宋体" w:hAnsi="宋体" w:cs="宋体"/>
                <w:color w:val="auto"/>
                <w:kern w:val="0"/>
                <w:sz w:val="20"/>
                <w:szCs w:val="20"/>
                <w:lang w:eastAsia="zh-CN"/>
              </w:rPr>
              <w:t>中共新乡经济技术开发区纪工委</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Layout w:type="fixed"/>
          <w:tblCellMar>
            <w:top w:w="0" w:type="dxa"/>
            <w:left w:w="0" w:type="dxa"/>
            <w:bottom w:w="0" w:type="dxa"/>
            <w:right w:w="0" w:type="dxa"/>
          </w:tblCellMar>
        </w:tblPrEx>
        <w:trPr>
          <w:trHeight w:val="559" w:hRule="atLeast"/>
        </w:trPr>
        <w:tc>
          <w:tcPr>
            <w:tcW w:w="6901" w:type="dxa"/>
            <w:gridSpan w:val="7"/>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决算数</w:t>
            </w:r>
          </w:p>
        </w:tc>
      </w:tr>
      <w:tr>
        <w:tblPrEx>
          <w:tblLayout w:type="fixed"/>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合计</w:t>
            </w:r>
          </w:p>
        </w:tc>
        <w:tc>
          <w:tcPr>
            <w:tcW w:w="114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公务接待费</w:t>
            </w:r>
          </w:p>
        </w:tc>
      </w:tr>
      <w:tr>
        <w:tblPrEx>
          <w:tblLayout w:type="fixed"/>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4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公务用车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公务用车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公务用车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公务用车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1</w:t>
            </w:r>
          </w:p>
        </w:tc>
        <w:tc>
          <w:tcPr>
            <w:tcW w:w="11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12</w:t>
            </w:r>
          </w:p>
        </w:tc>
      </w:tr>
      <w:tr>
        <w:tblPrEx>
          <w:tblLayout w:type="fixed"/>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1.90</w:t>
            </w:r>
          </w:p>
        </w:tc>
        <w:tc>
          <w:tcPr>
            <w:tcW w:w="114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0.00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1.70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1.70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0.20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0.73</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0.6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0.00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0.6</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2"/>
              </w:rPr>
              <w:t>0.13</w:t>
            </w:r>
          </w:p>
        </w:tc>
      </w:tr>
      <w:tr>
        <w:tblPrEx>
          <w:tblLayout w:type="fixed"/>
          <w:tblCellMar>
            <w:top w:w="0" w:type="dxa"/>
            <w:left w:w="0" w:type="dxa"/>
            <w:bottom w:w="0" w:type="dxa"/>
            <w:right w:w="0" w:type="dxa"/>
          </w:tblCellMar>
        </w:tblPrEx>
        <w:trPr>
          <w:trHeight w:val="900" w:hRule="atLeast"/>
        </w:trPr>
        <w:tc>
          <w:tcPr>
            <w:tcW w:w="13807" w:type="dxa"/>
            <w:gridSpan w:val="1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注：本表反映部门本年度“三公”经费支出预决算情况。其中，</w:t>
            </w:r>
            <w:r>
              <w:rPr>
                <w:rStyle w:val="12"/>
                <w:rFonts w:hint="default"/>
                <w:color w:val="auto"/>
                <w:sz w:val="20"/>
                <w:szCs w:val="20"/>
              </w:rPr>
              <w:t>预算数为“三公”经费年初预算数，决算数是包括当年一般公共预算财政拨款和以前年度结转资金安排的实际支出。</w:t>
            </w:r>
            <w:r>
              <w:rPr>
                <w:rFonts w:hint="eastAsia" w:ascii="宋体" w:hAnsi="宋体" w:cs="宋体"/>
                <w:color w:val="auto"/>
                <w:kern w:val="0"/>
                <w:sz w:val="20"/>
                <w:szCs w:val="20"/>
              </w:rPr>
              <w:t>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14018" w:type="dxa"/>
        <w:tblInd w:w="0" w:type="dxa"/>
        <w:tblLayout w:type="fixed"/>
        <w:tblCellMar>
          <w:top w:w="0" w:type="dxa"/>
          <w:left w:w="0" w:type="dxa"/>
          <w:bottom w:w="0" w:type="dxa"/>
          <w:right w:w="0" w:type="dxa"/>
        </w:tblCellMar>
      </w:tblPr>
      <w:tblGrid>
        <w:gridCol w:w="612"/>
        <w:gridCol w:w="536"/>
        <w:gridCol w:w="1256"/>
        <w:gridCol w:w="20"/>
        <w:gridCol w:w="30"/>
        <w:gridCol w:w="1896"/>
        <w:gridCol w:w="30"/>
        <w:gridCol w:w="1896"/>
        <w:gridCol w:w="30"/>
        <w:gridCol w:w="1896"/>
        <w:gridCol w:w="30"/>
        <w:gridCol w:w="1897"/>
        <w:gridCol w:w="30"/>
        <w:gridCol w:w="1896"/>
        <w:gridCol w:w="30"/>
        <w:gridCol w:w="1903"/>
        <w:gridCol w:w="30"/>
      </w:tblGrid>
      <w:tr>
        <w:tblPrEx>
          <w:tblLayout w:type="fixed"/>
          <w:tblCellMar>
            <w:top w:w="0" w:type="dxa"/>
            <w:left w:w="0" w:type="dxa"/>
            <w:bottom w:w="0" w:type="dxa"/>
            <w:right w:w="0" w:type="dxa"/>
          </w:tblCellMar>
        </w:tblPrEx>
        <w:trPr>
          <w:gridAfter w:val="1"/>
          <w:wAfter w:w="30" w:type="dxa"/>
          <w:trHeight w:val="600" w:hRule="atLeast"/>
        </w:trPr>
        <w:tc>
          <w:tcPr>
            <w:tcW w:w="13988" w:type="dxa"/>
            <w:gridSpan w:val="1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val="en-US" w:eastAsia="zh-CN"/>
              </w:rPr>
              <w:t>2018年度</w:t>
            </w:r>
            <w:r>
              <w:rPr>
                <w:rFonts w:hint="eastAsia" w:ascii="华文中宋" w:hAnsi="华文中宋" w:eastAsia="华文中宋" w:cs="华文中宋"/>
                <w:color w:val="auto"/>
                <w:kern w:val="0"/>
                <w:sz w:val="32"/>
                <w:szCs w:val="32"/>
              </w:rPr>
              <w:t>政府性基金预算财政拨款收入支出决算表</w:t>
            </w:r>
          </w:p>
        </w:tc>
      </w:tr>
      <w:tr>
        <w:tblPrEx>
          <w:tblLayout w:type="fixed"/>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792"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5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公开08表</w:t>
            </w:r>
          </w:p>
        </w:tc>
      </w:tr>
      <w:tr>
        <w:tblPrEx>
          <w:tblLayout w:type="fixed"/>
          <w:tblCellMar>
            <w:top w:w="0" w:type="dxa"/>
            <w:left w:w="0" w:type="dxa"/>
            <w:bottom w:w="0" w:type="dxa"/>
            <w:right w:w="0" w:type="dxa"/>
          </w:tblCellMar>
        </w:tblPrEx>
        <w:trPr>
          <w:trHeight w:val="300" w:hRule="atLeast"/>
        </w:trPr>
        <w:tc>
          <w:tcPr>
            <w:tcW w:w="4380" w:type="dxa"/>
            <w:gridSpan w:val="7"/>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kern w:val="0"/>
                <w:sz w:val="20"/>
                <w:szCs w:val="20"/>
              </w:rPr>
              <w:t>部门：</w:t>
            </w:r>
            <w:r>
              <w:rPr>
                <w:rFonts w:hint="eastAsia" w:ascii="宋体" w:hAnsi="宋体" w:cs="宋体"/>
                <w:color w:val="auto"/>
                <w:kern w:val="0"/>
                <w:sz w:val="20"/>
                <w:szCs w:val="20"/>
                <w:lang w:eastAsia="zh-CN"/>
              </w:rPr>
              <w:t>中共新乡经济技术开发区纪工委</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单位：万元</w:t>
            </w:r>
          </w:p>
        </w:tc>
      </w:tr>
      <w:tr>
        <w:tblPrEx>
          <w:tblLayout w:type="fixed"/>
          <w:tblCellMar>
            <w:top w:w="0" w:type="dxa"/>
            <w:left w:w="0" w:type="dxa"/>
            <w:bottom w:w="0" w:type="dxa"/>
            <w:right w:w="0" w:type="dxa"/>
          </w:tblCellMar>
        </w:tblPrEx>
        <w:trPr>
          <w:gridAfter w:val="1"/>
          <w:wAfter w:w="30" w:type="dxa"/>
          <w:trHeight w:val="405" w:hRule="atLeast"/>
        </w:trPr>
        <w:tc>
          <w:tcPr>
            <w:tcW w:w="2424" w:type="dxa"/>
            <w:gridSpan w:val="4"/>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    目</w:t>
            </w:r>
          </w:p>
        </w:tc>
        <w:tc>
          <w:tcPr>
            <w:tcW w:w="1926" w:type="dxa"/>
            <w:gridSpan w:val="2"/>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年末结转和结余</w:t>
            </w:r>
          </w:p>
        </w:tc>
      </w:tr>
      <w:tr>
        <w:tblPrEx>
          <w:tblLayout w:type="fixed"/>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功能分类</w:t>
            </w:r>
          </w:p>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科目编码</w:t>
            </w:r>
          </w:p>
        </w:tc>
        <w:tc>
          <w:tcPr>
            <w:tcW w:w="127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科目名称</w:t>
            </w: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450" w:hRule="atLeast"/>
        </w:trPr>
        <w:tc>
          <w:tcPr>
            <w:tcW w:w="2424" w:type="dxa"/>
            <w:gridSpan w:val="4"/>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栏次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w:t>
            </w:r>
          </w:p>
        </w:tc>
      </w:tr>
      <w:tr>
        <w:tblPrEx>
          <w:tblLayout w:type="fixed"/>
          <w:tblCellMar>
            <w:top w:w="0" w:type="dxa"/>
            <w:left w:w="0" w:type="dxa"/>
            <w:bottom w:w="0" w:type="dxa"/>
            <w:right w:w="0" w:type="dxa"/>
          </w:tblCellMar>
        </w:tblPrEx>
        <w:trPr>
          <w:gridAfter w:val="1"/>
          <w:wAfter w:w="30" w:type="dxa"/>
          <w:trHeight w:val="450" w:hRule="atLeast"/>
        </w:trPr>
        <w:tc>
          <w:tcPr>
            <w:tcW w:w="2424" w:type="dxa"/>
            <w:gridSpan w:val="4"/>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合计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r>
              <w:rPr>
                <w:rFonts w:hint="eastAsia" w:ascii="宋体" w:hAnsi="宋体" w:cs="宋体"/>
                <w:color w:val="auto"/>
                <w:sz w:val="20"/>
                <w:szCs w:val="20"/>
              </w:rPr>
              <w:t>0</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r>
              <w:rPr>
                <w:rFonts w:hint="eastAsia" w:ascii="宋体" w:hAnsi="宋体" w:cs="宋体"/>
                <w:color w:val="auto"/>
                <w:sz w:val="20"/>
                <w:szCs w:val="20"/>
              </w:rPr>
              <w:t>0</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r>
              <w:rPr>
                <w:rFonts w:hint="eastAsia" w:ascii="宋体" w:hAnsi="宋体" w:cs="宋体"/>
                <w:color w:val="auto"/>
                <w:sz w:val="20"/>
                <w:szCs w:val="20"/>
              </w:rPr>
              <w:t>0</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r>
              <w:rPr>
                <w:rFonts w:hint="eastAsia" w:ascii="宋体" w:hAnsi="宋体" w:cs="宋体"/>
                <w:color w:val="auto"/>
                <w:sz w:val="20"/>
                <w:szCs w:val="20"/>
              </w:rPr>
              <w:t>0</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rPr>
            </w:pPr>
            <w:r>
              <w:rPr>
                <w:rFonts w:hint="eastAsia" w:ascii="宋体" w:hAnsi="宋体" w:cs="宋体"/>
                <w:color w:val="auto"/>
                <w:sz w:val="20"/>
                <w:szCs w:val="20"/>
              </w:rPr>
              <w:t>0</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rPr>
            </w:pPr>
            <w:r>
              <w:rPr>
                <w:rFonts w:hint="eastAsia" w:ascii="宋体" w:hAnsi="宋体" w:cs="宋体"/>
                <w:color w:val="auto"/>
                <w:sz w:val="20"/>
                <w:szCs w:val="20"/>
              </w:rPr>
              <w:t>0</w:t>
            </w:r>
          </w:p>
        </w:tc>
      </w:tr>
      <w:tr>
        <w:tblPrEx>
          <w:tblLayout w:type="fixed"/>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r>
              <w:rPr>
                <w:rFonts w:hint="eastAsia" w:ascii="宋体" w:hAnsi="宋体" w:cs="宋体"/>
                <w:color w:val="auto"/>
                <w:sz w:val="20"/>
                <w:szCs w:val="20"/>
              </w:rPr>
              <w:t>0</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sz w:val="20"/>
                <w:szCs w:val="20"/>
              </w:rPr>
              <w:t>0</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sz w:val="20"/>
                <w:szCs w:val="20"/>
              </w:rPr>
              <w:t>0</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sz w:val="20"/>
                <w:szCs w:val="20"/>
              </w:rPr>
              <w:t>0</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sz w:val="20"/>
                <w:szCs w:val="20"/>
              </w:rPr>
              <w:t>0</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sz w:val="20"/>
                <w:szCs w:val="20"/>
              </w:rPr>
              <w:t>0</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sz w:val="20"/>
                <w:szCs w:val="20"/>
              </w:rPr>
              <w:t>0</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r>
              <w:rPr>
                <w:rFonts w:hint="eastAsia" w:ascii="宋体" w:hAnsi="宋体" w:cs="宋体"/>
                <w:color w:val="auto"/>
                <w:sz w:val="20"/>
                <w:szCs w:val="20"/>
              </w:rPr>
              <w:t>0</w:t>
            </w:r>
          </w:p>
        </w:tc>
      </w:tr>
      <w:tr>
        <w:tblPrEx>
          <w:tblLayout w:type="fixed"/>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auto"/>
                <w:sz w:val="20"/>
                <w:szCs w:val="20"/>
              </w:rPr>
            </w:pPr>
          </w:p>
        </w:tc>
        <w:tc>
          <w:tcPr>
            <w:tcW w:w="127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auto"/>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auto"/>
                <w:sz w:val="20"/>
                <w:szCs w:val="20"/>
              </w:rPr>
            </w:pPr>
          </w:p>
        </w:tc>
      </w:tr>
      <w:tr>
        <w:tblPrEx>
          <w:tblLayout w:type="fixed"/>
          <w:tblCellMar>
            <w:top w:w="0" w:type="dxa"/>
            <w:left w:w="0" w:type="dxa"/>
            <w:bottom w:w="0" w:type="dxa"/>
            <w:right w:w="0" w:type="dxa"/>
          </w:tblCellMar>
        </w:tblPrEx>
        <w:trPr>
          <w:gridAfter w:val="1"/>
          <w:wAfter w:w="30" w:type="dxa"/>
          <w:trHeight w:val="645" w:hRule="atLeast"/>
        </w:trPr>
        <w:tc>
          <w:tcPr>
            <w:tcW w:w="13988"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注：本表反映部门本年度政府性基金预算财政拨款收入、支出及结转和结余情况。</w:t>
            </w:r>
          </w:p>
        </w:tc>
      </w:tr>
    </w:tbl>
    <w:p>
      <w:pPr>
        <w:jc w:val="center"/>
        <w:rPr>
          <w:rFonts w:ascii="仿宋_GB2312" w:hAnsi="仿宋_GB2312" w:eastAsia="仿宋_GB2312" w:cs="仿宋_GB2312"/>
          <w:color w:val="auto"/>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rPr>
        <w:t>说明：我部门没有政府性基金收入，也没有使用政府性基金安排的支出，故本表无数据。</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第三部分  2018年度部门决算情况说明</w:t>
      </w:r>
    </w:p>
    <w:p>
      <w:pPr>
        <w:widowControl/>
        <w:jc w:val="left"/>
        <w:rPr>
          <w:rFonts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2018年度收、支总计均为214.44万元。与上年度相比，收、支总计各增加118.49万元，增长123.49%。主要原因是增加人员工资、委托审计费和固定资产费用。</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spacing w:line="560" w:lineRule="exact"/>
        <w:ind w:firstLine="640" w:firstLineChars="200"/>
        <w:rPr>
          <w:rFonts w:hint="eastAsia" w:ascii="仿宋_GB2312" w:eastAsia="仿宋_GB2312"/>
          <w:color w:val="auto"/>
          <w:sz w:val="32"/>
          <w:szCs w:val="32"/>
        </w:rPr>
      </w:pPr>
      <w:r>
        <w:rPr>
          <w:rFonts w:hint="eastAsia" w:ascii="仿宋_GB2312" w:hAnsi="仿宋_GB2312" w:eastAsia="仿宋_GB2312" w:cs="仿宋_GB2312"/>
          <w:color w:val="auto"/>
          <w:sz w:val="32"/>
          <w:szCs w:val="32"/>
        </w:rPr>
        <w:t>2018年度收入合计193.57万元，其中：财政拨款收入193.57万元，占100%。</w:t>
      </w:r>
      <w:r>
        <w:rPr>
          <w:rFonts w:hint="eastAsia" w:ascii="仿宋_GB2312" w:eastAsia="仿宋_GB2312"/>
          <w:color w:val="auto"/>
          <w:sz w:val="32"/>
          <w:szCs w:val="32"/>
        </w:rPr>
        <w:t>上级补助收入0万元，占0%；事业收入0万元，占0%；经营收入0万元，占0%；附属单位上缴收入0万元，占0%；其他收入0万元，占0%。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spacing w:line="560" w:lineRule="exact"/>
        <w:ind w:firstLine="640" w:firstLineChars="200"/>
        <w:rPr>
          <w:rFonts w:hint="eastAsia" w:ascii="仿宋_GB2312" w:eastAsia="仿宋_GB2312"/>
          <w:color w:val="auto"/>
          <w:sz w:val="32"/>
          <w:szCs w:val="32"/>
        </w:rPr>
      </w:pPr>
      <w:r>
        <w:rPr>
          <w:rFonts w:hint="eastAsia" w:ascii="仿宋_GB2312" w:hAnsi="仿宋_GB2312" w:eastAsia="仿宋_GB2312" w:cs="仿宋_GB2312"/>
          <w:color w:val="auto"/>
          <w:sz w:val="32"/>
          <w:szCs w:val="32"/>
        </w:rPr>
        <w:t>2018年度支出合计208.54万元，其中：基本支出190.55万元，占91.37%；项目支出17.99万元，占8.63%。</w:t>
      </w:r>
      <w:r>
        <w:rPr>
          <w:rFonts w:hint="eastAsia" w:ascii="仿宋_GB2312" w:eastAsia="仿宋_GB2312"/>
          <w:color w:val="auto"/>
          <w:sz w:val="32"/>
          <w:szCs w:val="32"/>
        </w:rPr>
        <w:t>上缴上级支出0万元，占0%；经营支出0万元，占0%；对附属单位补助支出0万元，占0%。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2018年度财政拨款收、支总计均为214.44万元。与上年度相比，财政拨款收、支总计各增加118.49万元，增长123.49%。主要原因是增加人员工资、委托审计费和固定资产费用。</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2018年度一般公共预算财政拨款支出208.54万元，占本年支出合计的100%。与上年度相比，一般公共预算财政拨款支出增加133.52万元，增长177.97%。主要原因是增加人员工资、委托审计费和固定资产费用。</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2018年度一般公共预算财政拨款支出208.54万元，主要用于以下方面：一般公共服务（类）支出183.58万元，占88.03%；社会保障和就业支出18.96万元，占9.09%；医疗卫生与计划生育支出6万元，占2.88%。</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2018年度一般公共预算财政拨款支出年初预算为164.55万元，支出决算为208.54万元，完成年初预算的127%。其中：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1.一般公共服务支出（类）纪检监察事务（款）行政运行（项）。</w:t>
      </w:r>
      <w:r>
        <w:rPr>
          <w:rFonts w:hint="eastAsia" w:ascii="仿宋_GB2312" w:hAnsi="仿宋_GB2312" w:eastAsia="仿宋_GB2312" w:cs="仿宋_GB2312"/>
          <w:color w:val="auto"/>
          <w:sz w:val="32"/>
          <w:szCs w:val="32"/>
        </w:rPr>
        <w:t>年初预算为118.56万元，支出决算为165.25万元，完成年初预算的139.38%。决算数与年初预算数存在差异的主要原因是增加人员工资。</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2.一般公共服务支出（类）纪检监察事务（款）其他纪检监察事务支出（项）。</w:t>
      </w:r>
      <w:r>
        <w:rPr>
          <w:rFonts w:hint="eastAsia" w:ascii="仿宋_GB2312" w:hAnsi="仿宋_GB2312" w:eastAsia="仿宋_GB2312" w:cs="仿宋_GB2312"/>
          <w:color w:val="auto"/>
          <w:sz w:val="32"/>
          <w:szCs w:val="32"/>
        </w:rPr>
        <w:t>年初预算为23.8万元，支出决算为18.34万元，完成年初预算的77.06%。决算数与年初预算数存在差异的主要原因是办案、巡察及培训费支出减少。</w:t>
      </w:r>
    </w:p>
    <w:p>
      <w:pPr>
        <w:widowControl/>
        <w:spacing w:line="59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3.社会保障和就业支出（类）行政事业单位离退休（款）机关事业单位基本养老保险缴费支出（项）。</w:t>
      </w:r>
      <w:r>
        <w:rPr>
          <w:rFonts w:hint="eastAsia" w:ascii="仿宋_GB2312" w:hAnsi="仿宋_GB2312" w:eastAsia="仿宋_GB2312" w:cs="仿宋_GB2312"/>
          <w:color w:val="auto"/>
          <w:sz w:val="32"/>
          <w:szCs w:val="32"/>
        </w:rPr>
        <w:t>年初预算为9.49万元，支出决算为16.50万元，完成年初预算的173.87%。决算数与年初预算数存在差异的主要原因是人员增加。</w:t>
      </w:r>
    </w:p>
    <w:p>
      <w:pPr>
        <w:widowControl/>
        <w:spacing w:line="59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4.社会保障和就业支出（类）行政事业单位离退休（款）机关事业单位职业年金缴费支出（项）。</w:t>
      </w:r>
      <w:r>
        <w:rPr>
          <w:rFonts w:hint="eastAsia" w:ascii="仿宋_GB2312" w:hAnsi="仿宋_GB2312" w:eastAsia="仿宋_GB2312" w:cs="仿宋_GB2312"/>
          <w:color w:val="auto"/>
          <w:sz w:val="32"/>
          <w:szCs w:val="32"/>
        </w:rPr>
        <w:t>年初预算为0万元，支出决算为2.23万元，完成年初预算的223%。决算数与年</w:t>
      </w:r>
      <w:r>
        <w:rPr>
          <w:rFonts w:hint="eastAsia" w:ascii="仿宋_GB2312" w:hAnsi="仿宋_GB2312" w:eastAsia="仿宋_GB2312" w:cs="仿宋_GB2312"/>
          <w:color w:val="auto"/>
          <w:sz w:val="32"/>
          <w:szCs w:val="32"/>
        </w:rPr>
        <w:t>初预算数存在差异的主要原因是职业年金从个人工资中代扣,不列入年初预算。</w:t>
      </w:r>
    </w:p>
    <w:p>
      <w:pPr>
        <w:widowControl/>
        <w:spacing w:line="59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5.社会保障和就业支出（类）其他社会保障和就业支出（款）其他社会保障和就业支出（项）。</w:t>
      </w:r>
      <w:r>
        <w:rPr>
          <w:rFonts w:hint="eastAsia" w:ascii="仿宋_GB2312" w:hAnsi="仿宋_GB2312" w:eastAsia="仿宋_GB2312" w:cs="仿宋_GB2312"/>
          <w:color w:val="auto"/>
          <w:sz w:val="32"/>
          <w:szCs w:val="32"/>
        </w:rPr>
        <w:t>年初预算为0.23万元，支出决算为0.23万元，完成年初预算的100%。</w:t>
      </w:r>
    </w:p>
    <w:p>
      <w:pPr>
        <w:widowControl/>
        <w:spacing w:line="59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6.医疗卫生与计划生育支出（类）行政事业单位医疗（款）行政单位医疗（项）。</w:t>
      </w:r>
      <w:r>
        <w:rPr>
          <w:rFonts w:hint="eastAsia" w:ascii="仿宋_GB2312" w:hAnsi="仿宋_GB2312" w:eastAsia="仿宋_GB2312" w:cs="仿宋_GB2312"/>
          <w:color w:val="auto"/>
          <w:sz w:val="32"/>
          <w:szCs w:val="32"/>
        </w:rPr>
        <w:t>年初预算为2.77万元，支出决算为3.00万元，完成年初预算的 108.30%。决算数与年初预算数存在差异的主要原因是人员增加。</w:t>
      </w:r>
    </w:p>
    <w:p>
      <w:pPr>
        <w:widowControl/>
        <w:spacing w:line="59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7.医疗卫生与计划生育支出（类）行政事业单位医疗（款）公务医疗补助（项）。</w:t>
      </w:r>
      <w:r>
        <w:rPr>
          <w:rFonts w:hint="eastAsia" w:ascii="仿宋_GB2312" w:hAnsi="仿宋_GB2312" w:eastAsia="仿宋_GB2312" w:cs="仿宋_GB2312"/>
          <w:color w:val="auto"/>
          <w:sz w:val="32"/>
          <w:szCs w:val="32"/>
        </w:rPr>
        <w:t>年初预算为2.77万元，支出决算为3.00万元，完成年初预算的 108.30%。决算数与年初预算数存在差异的主要原因是人员增加。</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一般公共预算财政拨款基本支出190.55万元。其中：人员经费187.36万元，主要包括：基本工资134.51万元、奖金20.59万元、机关事业单位基本养老保险缴费16.5万元、职业年金缴费2.87万元、职工基本医疗保险缴费3万元、公务员医疗补助缴费3万元、住房公积金6.67万元、其他社会保障缴费0.23万元；公用经费3.2万元，主要包括：办公费1.06万元、印刷费0.27万元、工会经费0.93万元、公务用车运行维护费0.59万元、办公设备购置0.35万元。</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2018年度“三公”经费财政拨款支出预算为1.9万元，支出决算为0.73万元，完成预算的38%。2018年度“三公”经费支出决算数与预算数存在差异的主要原因是减少“三公”经费支出。</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财政拨款支出决算中，因公出国（境）费支出决算0万元，完成预算的0%，占0%；公务用车购置及运行费支出决算0.6万元，完成预算的32%，占82%；公务接待费支出决算0.13万元，完成预算的6.8%，占17.8%。具体情况如下：</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年初预算为0万元，支出决算为0万元，完成年初预算的0%。全年因公出国（境）团组0个，累计0人次。开支内容包括：</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会议支出0万元。</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出国谈判、工作出商支出0万元。</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境外业务培训支出支出0元。</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年初预算为1.7万元，支出决算为0.6万元，完成年初预算的35.3%。决算数与年初预算数存在差异的主要原因是规范公车管理，减少公车使用。其中：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为0万元，购置车辆0辆。</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0.6万元。主要用于日常案件办理、监督巡察。2018年期末，部门开支财政拨款的公务用车保有量为1辆。</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年初预算为0.2万元，支出决算为0.13万元，完成年初预算的65%。决算数与年初预算数存在差异的主要原因是落实厉行节约有关规定,减少“三公”经费。其中：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zCs w:val="32"/>
        </w:rPr>
        <w:t>2018年共接待国（境）外来访团组0个、来访外宾0人次（不包括陪同人员）。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0.13万元。主要用于外地单位到我区调研考察等公务接待。2018年共接待国内来访团组9个、来宾42人次（不包括陪同人员）。</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spacing w:line="560" w:lineRule="exact"/>
        <w:ind w:firstLine="643" w:firstLineChars="200"/>
        <w:rPr>
          <w:rFonts w:ascii="楷体_GB2312" w:hAnsi="黑体" w:eastAsia="楷体_GB2312" w:cs="黑体"/>
          <w:b/>
          <w:color w:val="auto"/>
          <w:sz w:val="32"/>
          <w:szCs w:val="32"/>
        </w:rPr>
      </w:pPr>
      <w:r>
        <w:rPr>
          <w:rFonts w:hint="eastAsia" w:ascii="仿宋_GB2312" w:eastAsia="仿宋_GB2312"/>
          <w:b/>
          <w:color w:val="auto"/>
          <w:sz w:val="32"/>
          <w:szCs w:val="32"/>
        </w:rPr>
        <w:t>一是强化“四个意识”，打好廉政“预防针”。</w:t>
      </w:r>
      <w:r>
        <w:rPr>
          <w:rFonts w:hint="eastAsia" w:ascii="仿宋_GB2312" w:eastAsia="仿宋_GB2312"/>
          <w:color w:val="auto"/>
          <w:sz w:val="32"/>
          <w:szCs w:val="32"/>
        </w:rPr>
        <w:t>围绕习近平总书记系列重要讲话精神，坚持把廉洁文化教育与廉政警示教育深度融合，深化以案促改制度化常态化。区纪工委主要领导以《不忘初心追梦新时代 履职尽责担当新使命》为题讲专题廉政党课，进一步强化党员干部纪律意识、规矩意识。</w:t>
      </w:r>
      <w:r>
        <w:rPr>
          <w:rFonts w:hint="eastAsia" w:ascii="仿宋_GB2312" w:eastAsia="仿宋_GB2312"/>
          <w:b/>
          <w:color w:val="auto"/>
          <w:sz w:val="32"/>
          <w:szCs w:val="32"/>
        </w:rPr>
        <w:t>二是抓信访举报，促社会稳定。</w:t>
      </w:r>
      <w:r>
        <w:rPr>
          <w:rFonts w:hint="eastAsia" w:ascii="仿宋_GB2312" w:eastAsia="仿宋_GB2312"/>
          <w:color w:val="auto"/>
          <w:sz w:val="32"/>
          <w:szCs w:val="32"/>
        </w:rPr>
        <w:t>“两会”期间，按照“小事不出村、大事不出区，经开区的事在经开区解决”的原则，区领导班子成员轮流到信访大厅值班接访，并主动约见信访人面对面做稳控工作。</w:t>
      </w:r>
      <w:r>
        <w:rPr>
          <w:rFonts w:hint="eastAsia" w:ascii="仿宋_GB2312" w:eastAsia="仿宋_GB2312"/>
          <w:b/>
          <w:color w:val="auto"/>
          <w:sz w:val="32"/>
          <w:szCs w:val="32"/>
        </w:rPr>
        <w:t>三是抓巡察线索，强化整改落实形成震慑。</w:t>
      </w:r>
      <w:r>
        <w:rPr>
          <w:rFonts w:hint="eastAsia" w:ascii="仿宋_GB2312" w:eastAsia="仿宋_GB2312"/>
          <w:color w:val="auto"/>
          <w:sz w:val="32"/>
          <w:szCs w:val="32"/>
        </w:rPr>
        <w:t>以学习借鉴林州巡察村（社区）新模式为契机，在广泛调研的基础上，上半年开展巡察2轮，共发现村级组织在党的领导弱化、党的建设缺失、全面从严治党不力等方面存在的问题40个，针对存在的问题提出建议25个，推动一批遗留问题的解决，引咎辞职1人，党政纪处分1人，形成了有力的震慑。</w:t>
      </w:r>
      <w:r>
        <w:rPr>
          <w:rFonts w:hint="eastAsia" w:ascii="仿宋_GB2312" w:eastAsia="仿宋_GB2312"/>
          <w:b/>
          <w:color w:val="auto"/>
          <w:sz w:val="32"/>
          <w:szCs w:val="32"/>
        </w:rPr>
        <w:t>四是抓审计监督，督促扶贫领域有效运行。</w:t>
      </w:r>
      <w:r>
        <w:rPr>
          <w:rFonts w:hint="eastAsia" w:ascii="仿宋_GB2312" w:eastAsia="仿宋_GB2312"/>
          <w:color w:val="auto"/>
          <w:sz w:val="32"/>
          <w:szCs w:val="32"/>
        </w:rPr>
        <w:t>按照新乡市审计整改联席会议办公室下发的《清理拖欠民营企业中小企业账款通知》要求，积极与市审计局对接工作，下发工作提示函3份，督促相关单位按要求进行整改。</w:t>
      </w:r>
      <w:r>
        <w:rPr>
          <w:rFonts w:hint="eastAsia" w:ascii="仿宋_GB2312" w:eastAsia="仿宋_GB2312"/>
          <w:b/>
          <w:color w:val="auto"/>
          <w:sz w:val="32"/>
          <w:szCs w:val="32"/>
        </w:rPr>
        <w:t>五是抓监督重点，促廉洁履职。</w:t>
      </w:r>
      <w:r>
        <w:rPr>
          <w:rFonts w:hint="eastAsia" w:ascii="仿宋_GB2312" w:eastAsia="仿宋_GB2312"/>
          <w:color w:val="auto"/>
          <w:sz w:val="32"/>
          <w:szCs w:val="32"/>
        </w:rPr>
        <w:t>班子成员是“关键少数”中的“关键少数”，我们突出抓好“关键少数”这个监督重点，先后为每位班子成员订阅《中国纪检监察报》《河南党风廉政建设》等纪检杂志报刊，提高班子成员的纪律和规矩意识。</w:t>
      </w:r>
      <w:r>
        <w:rPr>
          <w:rFonts w:hint="eastAsia" w:ascii="仿宋_GB2312" w:eastAsia="仿宋_GB2312"/>
          <w:b/>
          <w:color w:val="auto"/>
          <w:sz w:val="32"/>
          <w:szCs w:val="32"/>
        </w:rPr>
        <w:t>六是抓重点领域，持续整治群众身边腐败和作风问题。</w:t>
      </w:r>
      <w:r>
        <w:rPr>
          <w:rFonts w:hint="eastAsia" w:ascii="仿宋_GB2312" w:eastAsia="仿宋_GB2312"/>
          <w:color w:val="auto"/>
          <w:sz w:val="32"/>
          <w:szCs w:val="32"/>
        </w:rPr>
        <w:t>年初，以市纪委“基层基础提升年”活动为载体，注重把环保、扶贫、项目建设等中心工作、重点工作、本职工作与活动开展有机结合，树立“为担当者担当，向不作为者亮剑”的容错免责和追究问责导向，层层传导压力，推进工作。</w:t>
      </w:r>
      <w:r>
        <w:rPr>
          <w:rFonts w:hint="eastAsia" w:ascii="仿宋_GB2312" w:eastAsia="仿宋_GB2312"/>
          <w:b/>
          <w:color w:val="auto"/>
          <w:sz w:val="32"/>
          <w:szCs w:val="32"/>
        </w:rPr>
        <w:t>七是抓短板，对标整改促提升。</w:t>
      </w:r>
      <w:r>
        <w:rPr>
          <w:rFonts w:hint="eastAsia" w:ascii="仿宋_GB2312" w:eastAsia="仿宋_GB2312"/>
          <w:color w:val="auto"/>
          <w:sz w:val="32"/>
          <w:szCs w:val="32"/>
        </w:rPr>
        <w:t>对照“补短板、建机制、强能力、见成效”整改工作中存在的问题，整理形成“6-45整改问题清单”，建立了在提升政治站位、制度执行落实、提升能力素质等方面11项整改台账。开展处分执行情况全面自查、完善纪律审查相关规章制度、对谈话室进行升级改造、规范案件卷宗材料等重点为抓手落实整改工作。截至目前，已完成整改6项。</w:t>
      </w:r>
      <w:r>
        <w:rPr>
          <w:rFonts w:hint="eastAsia" w:ascii="楷体_GB2312" w:hAnsi="黑体" w:eastAsia="楷体_GB2312" w:cs="黑体"/>
          <w:b/>
          <w:color w:val="auto"/>
          <w:sz w:val="32"/>
          <w:szCs w:val="32"/>
        </w:rPr>
        <w:t>八</w:t>
      </w:r>
      <w:r>
        <w:rPr>
          <w:rFonts w:hint="eastAsia" w:ascii="仿宋_GB2312" w:hAnsi="仿宋_GB2312" w:eastAsia="仿宋_GB2312" w:cs="仿宋_GB2312"/>
          <w:b/>
          <w:color w:val="auto"/>
          <w:sz w:val="32"/>
          <w:szCs w:val="32"/>
        </w:rPr>
        <w:t>是</w:t>
      </w:r>
      <w:r>
        <w:rPr>
          <w:rFonts w:hint="eastAsia" w:ascii="仿宋_GB2312" w:hAnsi="楷体_GB2312" w:eastAsia="仿宋_GB2312" w:cs="楷体_GB2312"/>
          <w:b/>
          <w:color w:val="auto"/>
          <w:sz w:val="32"/>
          <w:szCs w:val="32"/>
        </w:rPr>
        <w:t>“三抓一整改”促进基层基础提升年活动。</w:t>
      </w:r>
      <w:r>
        <w:rPr>
          <w:rFonts w:hint="eastAsia" w:ascii="仿宋_GB2312" w:hAnsi="仿宋_GB2312" w:eastAsia="仿宋_GB2312" w:cs="仿宋_GB2312"/>
          <w:color w:val="auto"/>
          <w:sz w:val="32"/>
          <w:szCs w:val="32"/>
        </w:rPr>
        <w:t>按照深入抓、持续抓工作理念，持续推进全区纪检监察系统基层基础提升年活动。在“三抓”活动中，厘清问题，深挖根源，建立问题台账，责任到人，切实加以整改。</w:t>
      </w:r>
      <w:r>
        <w:rPr>
          <w:rFonts w:hint="eastAsia" w:ascii="仿宋_GB2312" w:hAnsi="楷体_GB2312" w:eastAsia="仿宋_GB2312" w:cs="楷体_GB2312"/>
          <w:b/>
          <w:color w:val="auto"/>
          <w:sz w:val="32"/>
          <w:szCs w:val="32"/>
        </w:rPr>
        <w:t>九是抓队伍建设，促素质提升。</w:t>
      </w:r>
      <w:r>
        <w:rPr>
          <w:rFonts w:hint="eastAsia" w:ascii="仿宋_GB2312" w:eastAsia="仿宋_GB2312"/>
          <w:color w:val="auto"/>
          <w:sz w:val="32"/>
          <w:szCs w:val="32"/>
        </w:rPr>
        <w:t>结合纪工委实际，制定《2019年纪工委工作要点》、《2019年纪工委理论学习计划》，将巡察、审计、监督执纪及意识形态等方面知识纳入工作和学习内容。同时，组织4名巡察人员参加市县两级巡察干部为期一周的封闭式集中培训，不断拓宽视野、更新知识结构、提升巡察能力，实现对纪检巡察干部教育、管理、监督“三个常态化”。</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（二）项目绩效自评结果</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组织领导。我单位对绩效自评工作始终高度重视。按排专人负责，开展指标设置、收集资料等工作，确保各项任务指标落实到位。2.开展自评。第一时间召开了绩效考评自评工作会议，对2018年度绩效考评工作的具体要求和具体工作方法进行了安排。同时，结合工作实际，研究了数据采集的具体标准和工作要求，由各业务科室进行资料收集及开展自评，保证了机关自评工作的顺利完成。</w:t>
      </w:r>
    </w:p>
    <w:p>
      <w:pPr>
        <w:widowControl/>
        <w:spacing w:line="590" w:lineRule="exact"/>
        <w:ind w:firstLine="643" w:firstLineChars="200"/>
        <w:outlineLvl w:val="2"/>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以部门为主体开展的重点绩效评价结果</w:t>
      </w:r>
    </w:p>
    <w:p>
      <w:pPr>
        <w:widowControl/>
        <w:spacing w:line="590" w:lineRule="exact"/>
        <w:ind w:firstLine="640" w:firstLineChars="200"/>
        <w:outlineLvl w:val="2"/>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本年度预算绩效目标完成度较好，预算执行率≥</w:t>
      </w:r>
      <w:r>
        <w:rPr>
          <w:rFonts w:hint="eastAsia" w:ascii="仿宋_GB2312" w:hAnsi="仿宋_GB2312" w:eastAsia="仿宋_GB2312" w:cs="仿宋_GB2312"/>
          <w:b w:val="0"/>
          <w:bCs w:val="0"/>
          <w:color w:val="auto"/>
          <w:sz w:val="32"/>
          <w:szCs w:val="32"/>
          <w:lang w:val="en-US" w:eastAsia="zh-CN"/>
        </w:rPr>
        <w:t>90%，预算调整率≤10%，“三公经费”控制率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90%，资金使用合规，管理制度健全。全年开展3轮巡察工作，完成年度产出指标。</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2018年度政府性基金预算财政拨款支出年初预算为0万元，支出决算为0万元，完成年初预算的0%。其中其他等项目年末结转和结余资金数额较大，主要原因：无。</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十、机关运行经费支出情况说明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2018年度机关运行经费年初预算为6.3万元，支出决算为3.2万元，完成年初预算的50.8%。决算数与年初预算数</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lang w:val="en-US" w:eastAsia="zh-CN"/>
        </w:rPr>
        <w:t>2017年度支出情况</w:t>
      </w:r>
      <w:r>
        <w:rPr>
          <w:rFonts w:hint="eastAsia" w:ascii="仿宋_GB2312" w:hAnsi="仿宋_GB2312" w:eastAsia="仿宋_GB2312" w:cs="仿宋_GB2312"/>
          <w:color w:val="auto"/>
          <w:sz w:val="32"/>
          <w:szCs w:val="32"/>
        </w:rPr>
        <w:t>存在差异的主要原因是</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shd w:val="clear" w:color="auto" w:fill="FFFFFF"/>
        </w:rPr>
        <w:t>严格执行八项规定，厉行节约</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十一、政府采购支出情况说明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政府采购支出总额3.67万元，其中：政府采购货物支出1.66万元、政府采购工程支出0万元、政府采购服务支出2.01万元。授予中小企业合同金额0.52万元，占政府采购支出总额的14.12%，其中：授予小微企业合同金额0.13万元，占政府采购支出总额的3.54%。</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十二、国有资产占用情况说明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2018年期末，我部门共有车辆1辆，其中：一般公务用车0辆、一般执法执勤用车1辆、特种专业技术用车0辆，其他用车0辆；单位价值50万元以上通用设备0台（套），单位价值100万元以上专用设备0台（套）。</w:t>
      </w:r>
    </w:p>
    <w:p>
      <w:pPr>
        <w:widowControl/>
        <w:jc w:val="left"/>
        <w:rPr>
          <w:rFonts w:ascii="楷体_GB2312" w:hAnsi="楷体_GB2312" w:eastAsia="楷体_GB2312" w:cs="楷体_GB2312"/>
          <w:color w:val="auto"/>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ascii="黑体" w:hAnsi="黑体" w:eastAsia="黑体" w:cs="黑体"/>
          <w:color w:val="auto"/>
          <w:sz w:val="48"/>
          <w:szCs w:val="48"/>
        </w:rPr>
      </w:pPr>
    </w:p>
    <w:p>
      <w:pPr>
        <w:jc w:val="center"/>
        <w:outlineLvl w:val="0"/>
        <w:rPr>
          <w:rFonts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p>
      <w:pPr>
        <w:rPr>
          <w:color w:val="auto"/>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D41A4"/>
    <w:rsid w:val="00042A0A"/>
    <w:rsid w:val="001E2032"/>
    <w:rsid w:val="002107EA"/>
    <w:rsid w:val="00254275"/>
    <w:rsid w:val="002620AB"/>
    <w:rsid w:val="002B74EA"/>
    <w:rsid w:val="00305F94"/>
    <w:rsid w:val="00461BA4"/>
    <w:rsid w:val="004B2AB3"/>
    <w:rsid w:val="004C06CF"/>
    <w:rsid w:val="006B5D38"/>
    <w:rsid w:val="00941BB5"/>
    <w:rsid w:val="00A06309"/>
    <w:rsid w:val="00A96DE2"/>
    <w:rsid w:val="00BE5D74"/>
    <w:rsid w:val="00BE7F3C"/>
    <w:rsid w:val="00C27687"/>
    <w:rsid w:val="00C778A0"/>
    <w:rsid w:val="00CD1E54"/>
    <w:rsid w:val="00D26D9B"/>
    <w:rsid w:val="00DE2F1E"/>
    <w:rsid w:val="00ED74E4"/>
    <w:rsid w:val="00F65F49"/>
    <w:rsid w:val="01B7388E"/>
    <w:rsid w:val="01DA319A"/>
    <w:rsid w:val="04F20B5B"/>
    <w:rsid w:val="05364716"/>
    <w:rsid w:val="05EC5FB2"/>
    <w:rsid w:val="0916446C"/>
    <w:rsid w:val="096707C9"/>
    <w:rsid w:val="09C1072F"/>
    <w:rsid w:val="0CEE7B29"/>
    <w:rsid w:val="0D891244"/>
    <w:rsid w:val="0E3F3DC1"/>
    <w:rsid w:val="0F814A92"/>
    <w:rsid w:val="18094E87"/>
    <w:rsid w:val="1819708D"/>
    <w:rsid w:val="1B7322C3"/>
    <w:rsid w:val="1C9B1401"/>
    <w:rsid w:val="2082371A"/>
    <w:rsid w:val="22201D7A"/>
    <w:rsid w:val="23BC0FB0"/>
    <w:rsid w:val="24EE71C5"/>
    <w:rsid w:val="251D095A"/>
    <w:rsid w:val="2AB242C9"/>
    <w:rsid w:val="2B073833"/>
    <w:rsid w:val="2C65551D"/>
    <w:rsid w:val="2DC94267"/>
    <w:rsid w:val="2E7675D2"/>
    <w:rsid w:val="304D2CDA"/>
    <w:rsid w:val="319F1756"/>
    <w:rsid w:val="32A258A1"/>
    <w:rsid w:val="33C06296"/>
    <w:rsid w:val="353B2873"/>
    <w:rsid w:val="35B66C6F"/>
    <w:rsid w:val="36AD41A4"/>
    <w:rsid w:val="371B6BF5"/>
    <w:rsid w:val="39286750"/>
    <w:rsid w:val="3AC27B37"/>
    <w:rsid w:val="3B6921C3"/>
    <w:rsid w:val="3CDB2F35"/>
    <w:rsid w:val="40996F77"/>
    <w:rsid w:val="40B118D2"/>
    <w:rsid w:val="433219BB"/>
    <w:rsid w:val="439070C9"/>
    <w:rsid w:val="49DA6AB7"/>
    <w:rsid w:val="4BBF590C"/>
    <w:rsid w:val="4BD8614A"/>
    <w:rsid w:val="4D372F3E"/>
    <w:rsid w:val="4F4F064A"/>
    <w:rsid w:val="4FD73138"/>
    <w:rsid w:val="50506FDB"/>
    <w:rsid w:val="52187C83"/>
    <w:rsid w:val="53464AE0"/>
    <w:rsid w:val="547E5B82"/>
    <w:rsid w:val="54CA0EE4"/>
    <w:rsid w:val="593F57A1"/>
    <w:rsid w:val="59920A0D"/>
    <w:rsid w:val="5AD94245"/>
    <w:rsid w:val="5B881A18"/>
    <w:rsid w:val="5CB47425"/>
    <w:rsid w:val="5E5E1BCA"/>
    <w:rsid w:val="5F3C76FB"/>
    <w:rsid w:val="5F7B29E7"/>
    <w:rsid w:val="603B77B1"/>
    <w:rsid w:val="61A57C30"/>
    <w:rsid w:val="627037E4"/>
    <w:rsid w:val="630B3F0D"/>
    <w:rsid w:val="63304E91"/>
    <w:rsid w:val="646B55B9"/>
    <w:rsid w:val="648D4785"/>
    <w:rsid w:val="6D1248CB"/>
    <w:rsid w:val="6E2B5C8B"/>
    <w:rsid w:val="71CE6B81"/>
    <w:rsid w:val="784C05E8"/>
    <w:rsid w:val="7A761837"/>
    <w:rsid w:val="7E4B0D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sz w:val="18"/>
    </w:rPr>
  </w:style>
  <w:style w:type="character" w:styleId="7">
    <w:name w:val="footnote reference"/>
    <w:basedOn w:val="6"/>
    <w:unhideWhenUsed/>
    <w:qFormat/>
    <w:uiPriority w:val="99"/>
    <w:rPr>
      <w:vertAlign w:val="superscript"/>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font51"/>
    <w:basedOn w:val="6"/>
    <w:qFormat/>
    <w:uiPriority w:val="0"/>
    <w:rPr>
      <w:rFonts w:hint="eastAsia" w:ascii="宋体" w:hAnsi="宋体" w:eastAsia="宋体" w:cs="宋体"/>
      <w:color w:val="000000"/>
      <w:sz w:val="24"/>
      <w:szCs w:val="24"/>
      <w:u w:val="none"/>
    </w:rPr>
  </w:style>
  <w:style w:type="character" w:customStyle="1" w:styleId="12">
    <w:name w:val="font41"/>
    <w:basedOn w:val="6"/>
    <w:qFormat/>
    <w:uiPriority w:val="0"/>
    <w:rPr>
      <w:rFonts w:hint="eastAsia" w:ascii="宋体" w:hAnsi="宋体" w:eastAsia="宋体" w:cs="宋体"/>
      <w:color w:val="000000"/>
      <w:sz w:val="24"/>
      <w:szCs w:val="24"/>
      <w:u w:val="none"/>
    </w:rPr>
  </w:style>
  <w:style w:type="character" w:customStyle="1" w:styleId="13">
    <w:name w:val="页眉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2012</Words>
  <Characters>11474</Characters>
  <Lines>95</Lines>
  <Paragraphs>26</Paragraphs>
  <TotalTime>5</TotalTime>
  <ScaleCrop>false</ScaleCrop>
  <LinksUpToDate>false</LinksUpToDate>
  <CharactersWithSpaces>13460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2019-09-02T02:39:00Z</dcterms:created>
  <dc:creator>Administrator</dc:creator>
  <cp:lastModifiedBy>lenovo</cp:lastModifiedBy>
  <dcterms:modified xsi:type="dcterms:W3CDTF">2021-06-02T08:05:06Z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A3E423F28B744FE38749A461F20D69E6</vt:lpwstr>
  </property>
</Properties>
</file>