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宋体" w:eastAsia="黑体" w:cs="宋体"/>
          <w:kern w:val="0"/>
          <w:sz w:val="28"/>
          <w:szCs w:val="28"/>
        </w:rPr>
      </w:pPr>
      <w:bookmarkStart w:id="0" w:name="OLE_LINK1"/>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rPr>
          <w:rFonts w:hint="eastAsia" w:ascii="黑体" w:hAnsi="黑体" w:eastAsia="黑体" w:cs="黑体"/>
          <w:sz w:val="52"/>
          <w:szCs w:val="52"/>
        </w:rPr>
      </w:pPr>
      <w:r>
        <w:rPr>
          <w:rFonts w:hint="eastAsia" w:ascii="黑体" w:hAnsi="黑体" w:eastAsia="黑体" w:cs="黑体"/>
          <w:sz w:val="52"/>
          <w:szCs w:val="52"/>
        </w:rPr>
        <w:t>201</w:t>
      </w:r>
      <w:r>
        <w:rPr>
          <w:rFonts w:ascii="黑体" w:hAnsi="黑体" w:eastAsia="黑体" w:cs="黑体"/>
          <w:sz w:val="52"/>
          <w:szCs w:val="52"/>
        </w:rPr>
        <w:t>9</w:t>
      </w:r>
      <w:r>
        <w:rPr>
          <w:rFonts w:hint="eastAsia" w:ascii="黑体" w:hAnsi="黑体" w:eastAsia="黑体" w:cs="黑体"/>
          <w:sz w:val="52"/>
          <w:szCs w:val="52"/>
        </w:rPr>
        <w:t>年度</w:t>
      </w:r>
    </w:p>
    <w:p>
      <w:pPr>
        <w:jc w:val="center"/>
        <w:rPr>
          <w:rFonts w:hint="eastAsia" w:ascii="黑体" w:hAnsi="黑体" w:eastAsia="黑体" w:cs="黑体"/>
          <w:sz w:val="52"/>
          <w:szCs w:val="52"/>
        </w:rPr>
      </w:pPr>
      <w:r>
        <w:rPr>
          <w:rFonts w:hint="eastAsia" w:ascii="黑体" w:hAnsi="黑体" w:eastAsia="黑体" w:cs="黑体"/>
          <w:sz w:val="52"/>
          <w:szCs w:val="52"/>
        </w:rPr>
        <w:t>党政办公室部门决算</w:t>
      </w: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52"/>
          <w:szCs w:val="52"/>
        </w:rPr>
      </w:pPr>
    </w:p>
    <w:p>
      <w:pPr>
        <w:jc w:val="center"/>
        <w:rPr>
          <w:rFonts w:hint="eastAsia" w:ascii="黑体" w:hAnsi="黑体" w:eastAsia="黑体" w:cs="黑体"/>
          <w:sz w:val="32"/>
          <w:szCs w:val="32"/>
        </w:rPr>
        <w:sectPr>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二〇二〇年八月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党政办公室概况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第二部分　201</w:t>
      </w:r>
      <w:r>
        <w:rPr>
          <w:rFonts w:ascii="黑体" w:hAnsi="黑体" w:eastAsia="黑体" w:cs="黑体"/>
          <w:sz w:val="32"/>
          <w:szCs w:val="32"/>
        </w:rPr>
        <w:t>9</w:t>
      </w:r>
      <w:r>
        <w:rPr>
          <w:rFonts w:hint="eastAsia" w:ascii="黑体" w:hAnsi="黑体" w:eastAsia="黑体" w:cs="黑体"/>
          <w:sz w:val="32"/>
          <w:szCs w:val="32"/>
        </w:rPr>
        <w:t>年度部门决算表</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一、2019年度党政办公室收入支出决算总表</w:t>
      </w:r>
    </w:p>
    <w:p>
      <w:pPr>
        <w:ind w:firstLine="640" w:firstLineChars="200"/>
        <w:jc w:val="left"/>
        <w:rPr>
          <w:rFonts w:ascii="宋体" w:hAnsi="宋体" w:cs="宋体"/>
          <w:color w:val="auto"/>
          <w:sz w:val="32"/>
          <w:szCs w:val="32"/>
        </w:rPr>
      </w:pPr>
      <w:r>
        <w:rPr>
          <w:rFonts w:hint="eastAsia" w:ascii="宋体" w:hAnsi="宋体" w:cs="宋体"/>
          <w:color w:val="auto"/>
          <w:sz w:val="32"/>
          <w:szCs w:val="32"/>
        </w:rPr>
        <w:t>二、2019年度党政办公室收入决算表</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三、2019年度党政办公室支出决算表</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四、2019年度党政办公室财政拨款收入支出决算总表</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五、2019年度党政办公室一般公共预算财政拨款支出决算表</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六、2019年度党政办公室一般公共预算财政拨款基本支出决算表</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七、2019年度党政办公室一般公共预算财政拨款“三公”经费支出决算表</w:t>
      </w:r>
    </w:p>
    <w:p>
      <w:pPr>
        <w:ind w:firstLine="640" w:firstLineChars="200"/>
        <w:jc w:val="left"/>
        <w:rPr>
          <w:rFonts w:hint="eastAsia" w:ascii="宋体" w:hAnsi="宋体" w:cs="宋体"/>
          <w:color w:val="auto"/>
          <w:sz w:val="32"/>
          <w:szCs w:val="32"/>
        </w:rPr>
      </w:pPr>
      <w:r>
        <w:rPr>
          <w:rFonts w:hint="eastAsia" w:ascii="宋体" w:hAnsi="宋体" w:cs="宋体"/>
          <w:color w:val="auto"/>
          <w:sz w:val="32"/>
          <w:szCs w:val="32"/>
        </w:rPr>
        <w:t>八、2019年度党政办公室政府性基金预算财政拨款收入支出决算表</w:t>
      </w:r>
    </w:p>
    <w:p>
      <w:pPr>
        <w:jc w:val="left"/>
        <w:rPr>
          <w:rFonts w:hint="eastAsia" w:ascii="黑体" w:hAnsi="黑体" w:eastAsia="黑体" w:cs="黑体"/>
          <w:sz w:val="32"/>
          <w:szCs w:val="32"/>
        </w:rPr>
      </w:pPr>
      <w:r>
        <w:rPr>
          <w:rFonts w:hint="eastAsia" w:ascii="黑体" w:hAnsi="黑体" w:eastAsia="黑体" w:cs="黑体"/>
          <w:sz w:val="32"/>
          <w:szCs w:val="32"/>
        </w:rPr>
        <w:t>第三部分　　201</w:t>
      </w:r>
      <w:r>
        <w:rPr>
          <w:rFonts w:ascii="黑体" w:hAnsi="黑体" w:eastAsia="黑体" w:cs="黑体"/>
          <w:sz w:val="32"/>
          <w:szCs w:val="32"/>
        </w:rPr>
        <w:t>9</w:t>
      </w:r>
      <w:r>
        <w:rPr>
          <w:rFonts w:hint="eastAsia" w:ascii="黑体" w:hAnsi="黑体" w:eastAsia="黑体" w:cs="黑体"/>
          <w:sz w:val="32"/>
          <w:szCs w:val="32"/>
        </w:rPr>
        <w:t>年度部门决算情况说明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二、收入决算情况说明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三、支出决算情况说明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hint="eastAsia"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八、预算绩效情况说明</w:t>
      </w:r>
    </w:p>
    <w:p>
      <w:pPr>
        <w:ind w:firstLine="640" w:firstLineChars="200"/>
        <w:jc w:val="left"/>
        <w:rPr>
          <w:rFonts w:hint="eastAsia"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hint="eastAsia"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hint="eastAsia" w:ascii="宋体" w:hAnsi="宋体" w:cs="宋体"/>
          <w:sz w:val="32"/>
          <w:szCs w:val="32"/>
        </w:rPr>
      </w:pPr>
      <w:r>
        <w:rPr>
          <w:rFonts w:hint="eastAsia" w:ascii="宋体" w:hAnsi="宋体" w:cs="宋体"/>
          <w:sz w:val="32"/>
          <w:szCs w:val="32"/>
        </w:rPr>
        <w:t>十二、国有资产占用情况说明</w:t>
      </w:r>
    </w:p>
    <w:p>
      <w:pPr>
        <w:jc w:val="left"/>
        <w:rPr>
          <w:rFonts w:hint="eastAsia" w:ascii="黑体" w:hAnsi="黑体" w:eastAsia="黑体" w:cs="黑体"/>
          <w:sz w:val="32"/>
          <w:szCs w:val="32"/>
        </w:rPr>
      </w:pPr>
      <w:r>
        <w:rPr>
          <w:rFonts w:hint="eastAsia" w:ascii="黑体" w:hAnsi="黑体" w:eastAsia="黑体" w:cs="黑体"/>
          <w:sz w:val="32"/>
          <w:szCs w:val="32"/>
        </w:rPr>
        <w:t>第四部分　　名词解释</w:t>
      </w:r>
    </w:p>
    <w:p>
      <w:pPr>
        <w:ind w:firstLine="640" w:firstLineChars="200"/>
        <w:jc w:val="left"/>
        <w:rPr>
          <w:rFonts w:ascii="宋体" w:hAnsi="宋体" w:cs="宋体"/>
          <w:sz w:val="32"/>
          <w:szCs w:val="32"/>
        </w:rPr>
      </w:pPr>
    </w:p>
    <w:p>
      <w:pPr>
        <w:jc w:val="left"/>
        <w:rPr>
          <w:rFonts w:hint="eastAsia" w:ascii="黑体" w:hAnsi="黑体" w:eastAsia="黑体" w:cs="黑体"/>
          <w:sz w:val="32"/>
          <w:szCs w:val="32"/>
        </w:rPr>
        <w:sectPr>
          <w:footerReference r:id="rId3" w:type="default"/>
          <w:footerReference r:id="rId4"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center"/>
        <w:outlineLvl w:val="0"/>
        <w:rPr>
          <w:rFonts w:hint="eastAsia" w:ascii="黑体" w:hAnsi="宋体" w:eastAsia="黑体" w:cs="宋体"/>
          <w:kern w:val="0"/>
          <w:sz w:val="28"/>
          <w:szCs w:val="28"/>
        </w:rPr>
      </w:pPr>
      <w:r>
        <w:rPr>
          <w:rFonts w:hint="eastAsia" w:ascii="黑体" w:hAnsi="黑体" w:eastAsia="黑体" w:cs="黑体"/>
          <w:sz w:val="48"/>
          <w:szCs w:val="48"/>
        </w:rPr>
        <w:t>第一部分  党政办公室概况</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spacing w:line="600" w:lineRule="exact"/>
        <w:ind w:firstLine="640" w:firstLineChars="200"/>
        <w:textAlignment w:val="center"/>
        <w:rPr>
          <w:rFonts w:ascii="仿宋_GB2312" w:hAnsi="仿宋" w:eastAsia="仿宋_GB2312" w:cs="仿宋"/>
          <w:sz w:val="32"/>
          <w:szCs w:val="32"/>
        </w:rPr>
      </w:pPr>
      <w:r>
        <w:rPr>
          <w:rFonts w:hint="eastAsia" w:ascii="仿宋_GB2312" w:hAnsi="仿宋" w:eastAsia="仿宋_GB2312" w:cs="仿宋"/>
          <w:sz w:val="32"/>
          <w:szCs w:val="32"/>
        </w:rPr>
        <w:t>在区党工委、管委会的领导下，组织开展文秘会务、宣传及信息化建设、综合档案管理、机要保密、政策研究、法制工作、群团工作、应急管理等工作。</w:t>
      </w:r>
    </w:p>
    <w:p>
      <w:pPr>
        <w:spacing w:line="600" w:lineRule="exact"/>
        <w:ind w:firstLine="643" w:firstLineChars="200"/>
        <w:textAlignment w:val="center"/>
        <w:rPr>
          <w:rFonts w:hint="eastAsia" w:ascii="仿宋_GB2312" w:hAnsi="仿宋" w:eastAsia="仿宋_GB2312" w:cs="仿宋"/>
          <w:b/>
          <w:sz w:val="32"/>
          <w:szCs w:val="32"/>
        </w:rPr>
      </w:pPr>
      <w:r>
        <w:rPr>
          <w:rFonts w:hint="eastAsia" w:ascii="仿宋_GB2312" w:hAnsi="仿宋" w:eastAsia="仿宋_GB2312" w:cs="仿宋"/>
          <w:b/>
          <w:sz w:val="32"/>
          <w:szCs w:val="32"/>
        </w:rPr>
        <w:t>（</w:t>
      </w:r>
      <w:r>
        <w:rPr>
          <w:rFonts w:ascii="仿宋_GB2312" w:hAnsi="仿宋" w:eastAsia="仿宋_GB2312" w:cs="仿宋"/>
          <w:b/>
          <w:sz w:val="32"/>
          <w:szCs w:val="32"/>
        </w:rPr>
        <w:t>1</w:t>
      </w:r>
      <w:r>
        <w:rPr>
          <w:rFonts w:hint="eastAsia" w:ascii="仿宋_GB2312" w:hAnsi="仿宋" w:eastAsia="仿宋_GB2312" w:cs="仿宋"/>
          <w:b/>
          <w:sz w:val="32"/>
          <w:szCs w:val="32"/>
        </w:rPr>
        <w:t>）综合文秘科</w:t>
      </w:r>
    </w:p>
    <w:p>
      <w:pPr>
        <w:spacing w:line="600" w:lineRule="exact"/>
        <w:ind w:firstLine="643" w:firstLineChars="200"/>
        <w:textAlignment w:val="center"/>
        <w:rPr>
          <w:rFonts w:ascii="仿宋_GB2312" w:hAnsi="仿宋" w:eastAsia="仿宋_GB2312" w:cs="仿宋"/>
          <w:sz w:val="32"/>
          <w:szCs w:val="32"/>
        </w:rPr>
      </w:pPr>
      <w:r>
        <w:rPr>
          <w:rFonts w:hint="eastAsia" w:ascii="仿宋_GB2312" w:hAnsi="仿宋" w:eastAsia="仿宋_GB2312" w:cs="仿宋"/>
          <w:b/>
          <w:sz w:val="32"/>
          <w:szCs w:val="32"/>
        </w:rPr>
        <w:t>文秘会务：</w:t>
      </w:r>
      <w:r>
        <w:rPr>
          <w:rFonts w:hint="eastAsia" w:ascii="仿宋_GB2312" w:hAnsi="仿宋" w:eastAsia="仿宋_GB2312" w:cs="仿宋"/>
          <w:sz w:val="32"/>
          <w:szCs w:val="32"/>
        </w:rPr>
        <w:t>负责区党工委、管委会领导日常工作及有关活动的组织安排；负责起草区党工委、管委会综合性文字材料；负责区党工委、管委会各类会议事务的筹备、组织及会议纪要整理；负责区党工委、管委会及办公室文件的审核、校对、编印、发放等工作。</w:t>
      </w:r>
    </w:p>
    <w:p>
      <w:pPr>
        <w:spacing w:line="600" w:lineRule="exact"/>
        <w:ind w:firstLine="643" w:firstLineChars="200"/>
        <w:textAlignment w:val="center"/>
        <w:rPr>
          <w:rFonts w:ascii="仿宋_GB2312" w:hAnsi="仿宋_GB2312" w:eastAsia="仿宋_GB2312" w:cs="仿宋_GB2312"/>
          <w:sz w:val="32"/>
          <w:szCs w:val="32"/>
        </w:rPr>
      </w:pPr>
      <w:r>
        <w:rPr>
          <w:rFonts w:hint="eastAsia" w:ascii="仿宋_GB2312" w:hAnsi="仿宋" w:eastAsia="仿宋_GB2312" w:cs="仿宋"/>
          <w:b/>
          <w:sz w:val="32"/>
          <w:szCs w:val="32"/>
        </w:rPr>
        <w:t>（2）信息宣传科</w:t>
      </w:r>
    </w:p>
    <w:p>
      <w:pPr>
        <w:ind w:firstLine="643" w:firstLineChars="200"/>
        <w:rPr>
          <w:rFonts w:ascii="仿宋_GB2312" w:hAnsi="Times New Roman" w:eastAsia="仿宋_GB2312"/>
          <w:sz w:val="32"/>
        </w:rPr>
      </w:pPr>
      <w:r>
        <w:rPr>
          <w:rFonts w:hint="eastAsia" w:ascii="仿宋_GB2312" w:hAnsi="Times New Roman" w:eastAsia="仿宋_GB2312"/>
          <w:b/>
          <w:sz w:val="32"/>
        </w:rPr>
        <w:t>宣传及信息化建设：</w:t>
      </w:r>
      <w:r>
        <w:rPr>
          <w:rFonts w:hint="eastAsia" w:ascii="仿宋_GB2312" w:hAnsi="Times New Roman" w:eastAsia="仿宋_GB2312"/>
          <w:sz w:val="32"/>
        </w:rPr>
        <w:t>负责区对外宣传工作；负责区理论学习、宣传、研究工作；负责与上级宣传部门对接、协调，做好全区任务的落实；负责引导区内社会舆论的指导、协调工作；负责区新闻的日常管理工作；负责区机关信息化建设，做好网站日常管理和维护。</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（3）机要保密科</w:t>
      </w:r>
    </w:p>
    <w:p>
      <w:pPr>
        <w:ind w:firstLine="643" w:firstLineChars="200"/>
        <w:rPr>
          <w:rFonts w:hint="eastAsia" w:ascii="仿宋_GB2312" w:hAnsi="Times New Roman" w:eastAsia="仿宋_GB2312"/>
          <w:sz w:val="32"/>
        </w:rPr>
      </w:pPr>
      <w:r>
        <w:rPr>
          <w:rFonts w:hint="eastAsia" w:ascii="仿宋_GB2312" w:hAnsi="Times New Roman" w:eastAsia="仿宋_GB2312"/>
          <w:b/>
          <w:sz w:val="32"/>
        </w:rPr>
        <w:t>综合档案管理：</w:t>
      </w:r>
      <w:r>
        <w:rPr>
          <w:rFonts w:hint="eastAsia" w:ascii="仿宋_GB2312" w:hAnsi="Times New Roman" w:eastAsia="仿宋_GB2312"/>
          <w:sz w:val="32"/>
        </w:rPr>
        <w:t>制定区档案工作规范性文件并负责组织实施；指导、监督、检查全区各部门档案工作；接收、征集、整理、集中保管区党工委、管委会的重要档案和珍贵历史资料。</w:t>
      </w:r>
    </w:p>
    <w:p>
      <w:pPr>
        <w:ind w:firstLine="643" w:firstLineChars="200"/>
        <w:rPr>
          <w:rFonts w:ascii="仿宋_GB2312" w:hAnsi="Times New Roman" w:eastAsia="仿宋_GB2312"/>
          <w:sz w:val="32"/>
        </w:rPr>
      </w:pPr>
      <w:r>
        <w:rPr>
          <w:rFonts w:hint="eastAsia" w:ascii="仿宋_GB2312" w:hAnsi="Times New Roman" w:eastAsia="仿宋_GB2312"/>
          <w:b/>
          <w:sz w:val="32"/>
        </w:rPr>
        <w:t>机要保密：</w:t>
      </w:r>
      <w:r>
        <w:rPr>
          <w:rFonts w:hint="eastAsia" w:ascii="仿宋_GB2312" w:hAnsi="Times New Roman" w:eastAsia="仿宋_GB2312"/>
          <w:sz w:val="32"/>
        </w:rPr>
        <w:t>指导、监督、检查全区各部门机要保密工作；负责区收文管理相关工作，包括公文签收、拆封、登记、传阅、公文办理；负责区保密保管相关工作，包括制定公文登记制度、翻印复制、复印文件、传阅秘密文件、邮寄与传递、携带外出、秘密文件存放、清查清退、销毁、清退和立卷归档。</w:t>
      </w:r>
    </w:p>
    <w:p>
      <w:pPr>
        <w:ind w:firstLine="645"/>
        <w:rPr>
          <w:rFonts w:ascii="仿宋_GB2312" w:hAnsi="仿宋_GB2312" w:eastAsia="仿宋_GB2312" w:cs="仿宋_GB2312"/>
          <w:b/>
          <w:sz w:val="32"/>
          <w:szCs w:val="32"/>
        </w:rPr>
      </w:pPr>
      <w:r>
        <w:rPr>
          <w:rFonts w:hint="eastAsia" w:ascii="仿宋_GB2312" w:hAnsi="仿宋_GB2312" w:eastAsia="仿宋_GB2312" w:cs="仿宋_GB2312"/>
          <w:b/>
          <w:sz w:val="32"/>
          <w:szCs w:val="32"/>
        </w:rPr>
        <w:t>（4）政策法规科</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政策研究：</w:t>
      </w:r>
      <w:r>
        <w:rPr>
          <w:rFonts w:hint="eastAsia" w:ascii="仿宋_GB2312" w:hAnsi="仿宋_GB2312" w:eastAsia="仿宋_GB2312" w:cs="仿宋_GB2312"/>
          <w:sz w:val="32"/>
          <w:szCs w:val="32"/>
        </w:rPr>
        <w:t>研究区发展政策，为管委会科学决策提供依据；参与重要文件文稿起草工作；</w:t>
      </w:r>
    </w:p>
    <w:p>
      <w:pPr>
        <w:ind w:firstLine="645"/>
        <w:rPr>
          <w:rFonts w:ascii="仿宋_GB2312" w:hAnsi="仿宋_GB2312" w:eastAsia="仿宋_GB2312" w:cs="仿宋_GB2312"/>
          <w:sz w:val="32"/>
          <w:szCs w:val="32"/>
        </w:rPr>
      </w:pPr>
      <w:r>
        <w:rPr>
          <w:rFonts w:hint="eastAsia" w:ascii="仿宋_GB2312" w:hAnsi="仿宋_GB2312" w:eastAsia="仿宋_GB2312" w:cs="仿宋_GB2312"/>
          <w:b/>
          <w:sz w:val="32"/>
          <w:szCs w:val="32"/>
        </w:rPr>
        <w:t>法制工作：</w:t>
      </w:r>
      <w:r>
        <w:rPr>
          <w:rFonts w:hint="eastAsia" w:ascii="仿宋_GB2312" w:hAnsi="仿宋_GB2312" w:eastAsia="仿宋_GB2312" w:cs="仿宋_GB2312"/>
          <w:sz w:val="32"/>
          <w:szCs w:val="32"/>
        </w:rPr>
        <w:t>负责对区党工委、管委会发布的规范性文件的法律审核、清理和汇编工作；负责向市政府报备出台的规范性文件工作；负责对各类合同文本的审核把关工作；代理涉及区管委会的诉讼事项；负责参与指导全区执法检查活动；负责制定全区普法规划及普法教育工作，推动依法治区工作。</w:t>
      </w:r>
    </w:p>
    <w:p>
      <w:pPr>
        <w:ind w:firstLine="645"/>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w:t>
      </w:r>
      <w:r>
        <w:rPr>
          <w:rFonts w:ascii="仿宋_GB2312" w:hAnsi="仿宋_GB2312" w:eastAsia="仿宋_GB2312" w:cs="仿宋_GB2312"/>
          <w:b/>
          <w:sz w:val="32"/>
          <w:szCs w:val="32"/>
        </w:rPr>
        <w:t>5</w:t>
      </w:r>
      <w:r>
        <w:rPr>
          <w:rFonts w:hint="eastAsia" w:ascii="仿宋_GB2312" w:hAnsi="仿宋_GB2312" w:eastAsia="仿宋_GB2312" w:cs="仿宋_GB2312"/>
          <w:b/>
          <w:sz w:val="32"/>
          <w:szCs w:val="32"/>
        </w:rPr>
        <w:t>）群团办</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群团工作：</w:t>
      </w:r>
      <w:r>
        <w:rPr>
          <w:rFonts w:hint="eastAsia" w:ascii="仿宋_GB2312" w:hAnsi="仿宋_GB2312" w:eastAsia="仿宋_GB2312" w:cs="仿宋_GB2312"/>
          <w:sz w:val="32"/>
          <w:szCs w:val="32"/>
        </w:rPr>
        <w:t>负责文明办工作；负责工会、共青团、妇联、关工委等团体工作。</w:t>
      </w:r>
    </w:p>
    <w:p>
      <w:pPr>
        <w:ind w:firstLine="643" w:firstLineChars="20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机关党建：</w:t>
      </w:r>
      <w:r>
        <w:rPr>
          <w:rFonts w:hint="eastAsia" w:ascii="仿宋_GB2312" w:hAnsi="仿宋_GB2312" w:eastAsia="仿宋_GB2312" w:cs="仿宋_GB2312"/>
          <w:sz w:val="32"/>
          <w:szCs w:val="32"/>
        </w:rPr>
        <w:t>负责机关党委日常工作，牵头组织负责管委会机关党的建设工作；负责党员集中教育活动。</w:t>
      </w:r>
    </w:p>
    <w:p>
      <w:pPr>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（6）应急值班岗（副主任直管）</w:t>
      </w:r>
    </w:p>
    <w:p>
      <w:pPr>
        <w:spacing w:line="600" w:lineRule="exact"/>
        <w:ind w:firstLine="643" w:firstLineChars="200"/>
        <w:rPr>
          <w:rFonts w:hint="eastAsia" w:ascii="仿宋_GB2312" w:hAnsi="宋体" w:eastAsia="仿宋_GB2312" w:cs="宋体"/>
          <w:kern w:val="0"/>
          <w:sz w:val="32"/>
          <w:szCs w:val="32"/>
        </w:rPr>
      </w:pPr>
      <w:r>
        <w:rPr>
          <w:rFonts w:hint="eastAsia" w:ascii="仿宋_GB2312" w:hAnsi="仿宋_GB2312" w:eastAsia="仿宋_GB2312" w:cs="仿宋_GB2312"/>
          <w:b/>
          <w:sz w:val="32"/>
          <w:szCs w:val="32"/>
        </w:rPr>
        <w:t>应急管理：</w:t>
      </w:r>
      <w:r>
        <w:rPr>
          <w:rFonts w:hint="eastAsia" w:ascii="仿宋_GB2312" w:hAnsi="仿宋_GB2312" w:eastAsia="仿宋_GB2312" w:cs="仿宋_GB2312"/>
          <w:sz w:val="32"/>
          <w:szCs w:val="32"/>
        </w:rPr>
        <w:t>负责区突发事件的组织协调；负责</w:t>
      </w:r>
      <w:r>
        <w:rPr>
          <w:rFonts w:ascii="仿宋_GB2312" w:hAnsi="仿宋_GB2312" w:eastAsia="仿宋_GB2312" w:cs="仿宋_GB2312"/>
          <w:sz w:val="32"/>
          <w:szCs w:val="32"/>
        </w:rPr>
        <w:t>协调指导突发公共事件的预防预警、应急演练、应急处置、调查评估、信息发布、应急保障和救援等工作</w:t>
      </w:r>
      <w:r>
        <w:rPr>
          <w:rFonts w:hint="eastAsia" w:ascii="仿宋_GB2312" w:hAnsi="仿宋_GB2312" w:eastAsia="仿宋_GB2312" w:cs="仿宋_GB2312"/>
          <w:sz w:val="32"/>
          <w:szCs w:val="32"/>
        </w:rPr>
        <w:t>；负责应急事项信息调研、应急宣教工作。</w:t>
      </w:r>
    </w:p>
    <w:p>
      <w:pPr>
        <w:widowControl/>
        <w:ind w:firstLine="640" w:firstLineChars="200"/>
        <w:jc w:val="left"/>
        <w:outlineLvl w:val="1"/>
        <w:rPr>
          <w:rFonts w:hint="eastAsia" w:ascii="黑体" w:hAnsi="黑体" w:eastAsia="黑体" w:cs="黑体"/>
          <w:kern w:val="0"/>
          <w:sz w:val="32"/>
          <w:szCs w:val="32"/>
        </w:rPr>
      </w:pPr>
      <w:r>
        <w:rPr>
          <w:rFonts w:hint="eastAsia" w:ascii="黑体" w:hAnsi="黑体" w:eastAsia="黑体" w:cs="黑体"/>
          <w:kern w:val="0"/>
          <w:sz w:val="32"/>
          <w:szCs w:val="32"/>
        </w:rPr>
        <w:t>二、机构设置</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党政办内设机构</w:t>
      </w:r>
      <w:r>
        <w:rPr>
          <w:rFonts w:hint="eastAsia" w:ascii="仿宋_GB2312" w:hAnsi="仿宋_GB2312" w:eastAsia="仿宋_GB2312" w:cs="仿宋_GB2312"/>
          <w:kern w:val="0"/>
          <w:sz w:val="32"/>
          <w:szCs w:val="32"/>
          <w:lang w:val="en-US" w:eastAsia="zh-CN"/>
        </w:rPr>
        <w:t>0</w:t>
      </w:r>
      <w:r>
        <w:rPr>
          <w:rFonts w:hint="eastAsia" w:ascii="仿宋_GB2312" w:hAnsi="仿宋_GB2312" w:eastAsia="仿宋_GB2312" w:cs="仿宋_GB2312"/>
          <w:kern w:val="0"/>
          <w:sz w:val="32"/>
          <w:szCs w:val="32"/>
        </w:rPr>
        <w:t>个。</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从决算单位构成看，党政办公室部门决算包括：本级决算、所属单位决算。</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纳入本部门201</w:t>
      </w:r>
      <w:r>
        <w:rPr>
          <w:rFonts w:ascii="仿宋_GB2312" w:hAnsi="仿宋_GB2312" w:eastAsia="仿宋_GB2312" w:cs="仿宋_GB2312"/>
          <w:kern w:val="0"/>
          <w:sz w:val="32"/>
          <w:szCs w:val="32"/>
        </w:rPr>
        <w:t>9</w:t>
      </w:r>
      <w:r>
        <w:rPr>
          <w:rFonts w:hint="eastAsia" w:ascii="仿宋_GB2312" w:hAnsi="仿宋_GB2312" w:eastAsia="仿宋_GB2312" w:cs="仿宋_GB2312"/>
          <w:kern w:val="0"/>
          <w:sz w:val="32"/>
          <w:szCs w:val="32"/>
        </w:rPr>
        <w:t>年度部门决算编制范围的单位共3个，其中含代管的人大办公室、政协办公室(工商联)，具体是：</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1.党政办公室本级</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2.人大办公室</w:t>
      </w:r>
    </w:p>
    <w:p>
      <w:pPr>
        <w:widowControl/>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3.政协办公室</w:t>
      </w: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bookmarkEnd w:id="0"/>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第二部分  201</w:t>
      </w:r>
      <w:r>
        <w:rPr>
          <w:rFonts w:ascii="黑体" w:hAnsi="黑体" w:eastAsia="黑体" w:cs="黑体"/>
          <w:sz w:val="48"/>
          <w:szCs w:val="48"/>
        </w:rPr>
        <w:t>9</w:t>
      </w:r>
      <w:r>
        <w:rPr>
          <w:rFonts w:hint="eastAsia" w:ascii="黑体" w:hAnsi="黑体" w:eastAsia="黑体" w:cs="黑体"/>
          <w:sz w:val="48"/>
          <w:szCs w:val="48"/>
        </w:rPr>
        <w:t>年度部门决算表</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jc w:val="center"/>
        <w:rPr>
          <w:rFonts w:hint="eastAsia" w:ascii="仿宋_GB2312" w:hAnsi="仿宋_GB2312" w:eastAsia="仿宋_GB2312" w:cs="仿宋_GB2312"/>
          <w:sz w:val="32"/>
          <w:szCs w:val="32"/>
          <w:highlight w:val="yellow"/>
          <w:lang w:eastAsia="zh-CN"/>
        </w:rPr>
      </w:pPr>
      <w:r>
        <w:rPr>
          <w:rFonts w:ascii="仿宋_GB2312" w:hAnsi="仿宋_GB2312" w:eastAsia="仿宋_GB2312" w:cs="仿宋_GB2312"/>
          <w:sz w:val="32"/>
          <w:szCs w:val="32"/>
        </w:rPr>
        <w:drawing>
          <wp:inline distT="0" distB="0" distL="114300" distR="114300">
            <wp:extent cx="7077710" cy="5270500"/>
            <wp:effectExtent l="0" t="0" r="8890" b="6350"/>
            <wp:docPr id="12" name="图片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
                    <pic:cNvPicPr>
                      <a:picLocks noChangeAspect="1"/>
                    </pic:cNvPicPr>
                  </pic:nvPicPr>
                  <pic:blipFill>
                    <a:blip r:embed="rId6"/>
                    <a:stretch>
                      <a:fillRect/>
                    </a:stretch>
                  </pic:blipFill>
                  <pic:spPr>
                    <a:xfrm>
                      <a:off x="0" y="0"/>
                      <a:ext cx="7077710" cy="5270500"/>
                    </a:xfrm>
                    <a:prstGeom prst="rect">
                      <a:avLst/>
                    </a:prstGeom>
                  </pic:spPr>
                </pic:pic>
              </a:graphicData>
            </a:graphic>
          </wp:inline>
        </w:drawing>
      </w:r>
      <w:r>
        <w:rPr>
          <w:rFonts w:hint="eastAsia" w:ascii="仿宋_GB2312" w:hAnsi="仿宋_GB2312" w:eastAsia="仿宋_GB2312" w:cs="仿宋_GB2312"/>
          <w:sz w:val="32"/>
          <w:szCs w:val="32"/>
          <w:highlight w:val="yellow"/>
          <w:lang w:eastAsia="zh-CN"/>
        </w:rPr>
        <w:drawing>
          <wp:inline distT="0" distB="0" distL="114300" distR="114300">
            <wp:extent cx="8859520" cy="4551045"/>
            <wp:effectExtent l="0" t="0" r="17780" b="1905"/>
            <wp:docPr id="13" name="图片 1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2"/>
                    <pic:cNvPicPr>
                      <a:picLocks noChangeAspect="1"/>
                    </pic:cNvPicPr>
                  </pic:nvPicPr>
                  <pic:blipFill>
                    <a:blip r:embed="rId7"/>
                    <a:stretch>
                      <a:fillRect/>
                    </a:stretch>
                  </pic:blipFill>
                  <pic:spPr>
                    <a:xfrm>
                      <a:off x="0" y="0"/>
                      <a:ext cx="8859520" cy="4551045"/>
                    </a:xfrm>
                    <a:prstGeom prst="rect">
                      <a:avLst/>
                    </a:prstGeom>
                  </pic:spPr>
                </pic:pic>
              </a:graphicData>
            </a:graphic>
          </wp:inline>
        </w:drawing>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8859520" cy="5074920"/>
            <wp:effectExtent l="0" t="0" r="17780" b="11430"/>
            <wp:docPr id="14" name="图片 1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3"/>
                    <pic:cNvPicPr>
                      <a:picLocks noChangeAspect="1"/>
                    </pic:cNvPicPr>
                  </pic:nvPicPr>
                  <pic:blipFill>
                    <a:blip r:embed="rId8"/>
                    <a:stretch>
                      <a:fillRect/>
                    </a:stretch>
                  </pic:blipFill>
                  <pic:spPr>
                    <a:xfrm>
                      <a:off x="0" y="0"/>
                      <a:ext cx="8859520" cy="5074920"/>
                    </a:xfrm>
                    <a:prstGeom prst="rect">
                      <a:avLst/>
                    </a:prstGeom>
                  </pic:spPr>
                </pic:pic>
              </a:graphicData>
            </a:graphic>
          </wp:inline>
        </w:drawing>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6842760" cy="5269230"/>
            <wp:effectExtent l="0" t="0" r="15240" b="7620"/>
            <wp:docPr id="15" name="图片 1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4"/>
                    <pic:cNvPicPr>
                      <a:picLocks noChangeAspect="1"/>
                    </pic:cNvPicPr>
                  </pic:nvPicPr>
                  <pic:blipFill>
                    <a:blip r:embed="rId9"/>
                    <a:stretch>
                      <a:fillRect/>
                    </a:stretch>
                  </pic:blipFill>
                  <pic:spPr>
                    <a:xfrm>
                      <a:off x="0" y="0"/>
                      <a:ext cx="6842760" cy="5269230"/>
                    </a:xfrm>
                    <a:prstGeom prst="rect">
                      <a:avLst/>
                    </a:prstGeom>
                  </pic:spPr>
                </pic:pic>
              </a:graphicData>
            </a:graphic>
          </wp:inline>
        </w:drawing>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6841490" cy="5269230"/>
            <wp:effectExtent l="0" t="0" r="16510" b="7620"/>
            <wp:docPr id="16" name="图片 16"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5"/>
                    <pic:cNvPicPr>
                      <a:picLocks noChangeAspect="1"/>
                    </pic:cNvPicPr>
                  </pic:nvPicPr>
                  <pic:blipFill>
                    <a:blip r:embed="rId10"/>
                    <a:stretch>
                      <a:fillRect/>
                    </a:stretch>
                  </pic:blipFill>
                  <pic:spPr>
                    <a:xfrm>
                      <a:off x="0" y="0"/>
                      <a:ext cx="6841490" cy="5269230"/>
                    </a:xfrm>
                    <a:prstGeom prst="rect">
                      <a:avLst/>
                    </a:prstGeom>
                  </pic:spPr>
                </pic:pic>
              </a:graphicData>
            </a:graphic>
          </wp:inline>
        </w:drawing>
      </w:r>
    </w:p>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drawing>
          <wp:inline distT="0" distB="0" distL="114300" distR="114300">
            <wp:extent cx="8856345" cy="5209540"/>
            <wp:effectExtent l="0" t="0" r="1905" b="10160"/>
            <wp:docPr id="17" name="图片 17"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6"/>
                    <pic:cNvPicPr>
                      <a:picLocks noChangeAspect="1"/>
                    </pic:cNvPicPr>
                  </pic:nvPicPr>
                  <pic:blipFill>
                    <a:blip r:embed="rId11"/>
                    <a:stretch>
                      <a:fillRect/>
                    </a:stretch>
                  </pic:blipFill>
                  <pic:spPr>
                    <a:xfrm>
                      <a:off x="0" y="0"/>
                      <a:ext cx="8856345" cy="5209540"/>
                    </a:xfrm>
                    <a:prstGeom prst="rect">
                      <a:avLst/>
                    </a:prstGeom>
                  </pic:spPr>
                </pic:pic>
              </a:graphicData>
            </a:graphic>
          </wp:inline>
        </w:drawing>
      </w:r>
    </w:p>
    <w:p>
      <w:pPr>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drawing>
          <wp:inline distT="0" distB="0" distL="114300" distR="114300">
            <wp:extent cx="8863330" cy="1816735"/>
            <wp:effectExtent l="0" t="0" r="13970" b="12065"/>
            <wp:docPr id="18" name="图片 18"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7"/>
                    <pic:cNvPicPr>
                      <a:picLocks noChangeAspect="1"/>
                    </pic:cNvPicPr>
                  </pic:nvPicPr>
                  <pic:blipFill>
                    <a:blip r:embed="rId12"/>
                    <a:stretch>
                      <a:fillRect/>
                    </a:stretch>
                  </pic:blipFill>
                  <pic:spPr>
                    <a:xfrm>
                      <a:off x="0" y="0"/>
                      <a:ext cx="8863330" cy="1816735"/>
                    </a:xfrm>
                    <a:prstGeom prst="rect">
                      <a:avLst/>
                    </a:prstGeom>
                  </pic:spPr>
                </pic:pic>
              </a:graphicData>
            </a:graphic>
          </wp:inline>
        </w:drawing>
      </w: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rPr>
      </w:pPr>
    </w:p>
    <w:p>
      <w:pPr>
        <w:jc w:val="both"/>
        <w:rPr>
          <w:rFonts w:ascii="仿宋_GB2312" w:hAnsi="仿宋_GB2312" w:eastAsia="仿宋_GB2312" w:cs="仿宋_GB2312"/>
          <w:sz w:val="32"/>
          <w:szCs w:val="32"/>
          <w:highlight w:val="yellow"/>
        </w:rPr>
      </w:pPr>
    </w:p>
    <w:p>
      <w:pPr>
        <w:jc w:val="center"/>
        <w:rPr>
          <w:rFonts w:ascii="仿宋_GB2312" w:hAnsi="仿宋_GB2312" w:eastAsia="仿宋_GB2312" w:cs="仿宋_GB2312"/>
          <w:sz w:val="32"/>
          <w:szCs w:val="32"/>
          <w:highlight w:val="yellow"/>
        </w:rPr>
      </w:pPr>
    </w:p>
    <w:p>
      <w:pPr>
        <w:jc w:val="center"/>
        <w:rPr>
          <w:rFonts w:hint="eastAsia" w:ascii="仿宋_GB2312" w:hAnsi="仿宋_GB2312" w:eastAsia="仿宋_GB2312" w:cs="仿宋_GB2312"/>
          <w:sz w:val="32"/>
          <w:szCs w:val="32"/>
          <w:highlight w:val="yellow"/>
          <w:lang w:eastAsia="zh-CN"/>
        </w:rPr>
      </w:pPr>
      <w:r>
        <w:rPr>
          <w:rFonts w:hint="eastAsia" w:ascii="仿宋_GB2312" w:hAnsi="仿宋_GB2312" w:eastAsia="仿宋_GB2312" w:cs="仿宋_GB2312"/>
          <w:sz w:val="32"/>
          <w:szCs w:val="32"/>
          <w:highlight w:val="yellow"/>
          <w:lang w:eastAsia="zh-CN"/>
        </w:rPr>
        <w:drawing>
          <wp:inline distT="0" distB="0" distL="114300" distR="114300">
            <wp:extent cx="8862695" cy="2798445"/>
            <wp:effectExtent l="0" t="0" r="14605" b="1905"/>
            <wp:docPr id="19" name="图片 1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8"/>
                    <pic:cNvPicPr>
                      <a:picLocks noChangeAspect="1"/>
                    </pic:cNvPicPr>
                  </pic:nvPicPr>
                  <pic:blipFill>
                    <a:blip r:embed="rId13"/>
                    <a:srcRect t="-3160"/>
                    <a:stretch>
                      <a:fillRect/>
                    </a:stretch>
                  </pic:blipFill>
                  <pic:spPr>
                    <a:xfrm>
                      <a:off x="0" y="0"/>
                      <a:ext cx="8862695" cy="2798445"/>
                    </a:xfrm>
                    <a:prstGeom prst="rect">
                      <a:avLst/>
                    </a:prstGeom>
                  </pic:spPr>
                </pic:pic>
              </a:graphicData>
            </a:graphic>
          </wp:inline>
        </w:drawing>
      </w:r>
    </w:p>
    <w:p>
      <w:pPr>
        <w:jc w:val="center"/>
        <w:rPr>
          <w:rFonts w:ascii="仿宋_GB2312" w:hAnsi="仿宋_GB2312" w:eastAsia="仿宋_GB2312" w:cs="仿宋_GB2312"/>
          <w:sz w:val="32"/>
          <w:szCs w:val="32"/>
          <w:highlight w:val="yellow"/>
        </w:rPr>
      </w:pPr>
    </w:p>
    <w:p>
      <w:pPr>
        <w:jc w:val="center"/>
        <w:rPr>
          <w:rFonts w:ascii="仿宋_GB2312" w:hAnsi="仿宋_GB2312" w:eastAsia="仿宋_GB2312" w:cs="仿宋_GB2312"/>
          <w:sz w:val="32"/>
          <w:szCs w:val="32"/>
          <w:highlight w:val="yellow"/>
        </w:rPr>
      </w:pPr>
    </w:p>
    <w:p>
      <w:pPr>
        <w:jc w:val="center"/>
        <w:rPr>
          <w:rFonts w:hint="eastAsia"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r>
        <w:rPr>
          <w:rFonts w:hint="eastAsia" w:ascii="仿宋_GB2312" w:hAnsi="仿宋_GB2312" w:eastAsia="仿宋_GB2312" w:cs="仿宋_GB2312"/>
          <w:sz w:val="32"/>
          <w:szCs w:val="32"/>
        </w:rPr>
        <w:t>说明：我部门没有政府性基金收入，也没有使用政府性基金安排的支出，故本表无数据。</w:t>
      </w: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第三部分  201</w:t>
      </w:r>
      <w:r>
        <w:rPr>
          <w:rFonts w:ascii="黑体" w:hAnsi="黑体" w:eastAsia="黑体" w:cs="黑体"/>
          <w:sz w:val="48"/>
          <w:szCs w:val="48"/>
        </w:rPr>
        <w:t>9</w:t>
      </w:r>
      <w:r>
        <w:rPr>
          <w:rFonts w:hint="eastAsia" w:ascii="黑体" w:hAnsi="黑体" w:eastAsia="黑体" w:cs="黑体"/>
          <w:sz w:val="48"/>
          <w:szCs w:val="48"/>
        </w:rPr>
        <w:t>年度部门决算情况说明</w:t>
      </w:r>
    </w:p>
    <w:p>
      <w:pPr>
        <w:widowControl/>
        <w:jc w:val="left"/>
        <w:rPr>
          <w:rFonts w:hint="eastAsia"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spacing w:before="240"/>
        <w:ind w:firstLine="640" w:firstLineChars="200"/>
        <w:rPr>
          <w:rFonts w:ascii="黑体" w:hAnsi="黑体" w:eastAsia="黑体"/>
          <w:sz w:val="32"/>
          <w:szCs w:val="32"/>
        </w:rPr>
      </w:pPr>
      <w:r>
        <w:rPr>
          <w:rFonts w:hint="eastAsia" w:ascii="黑体" w:hAnsi="黑体" w:eastAsia="黑体"/>
          <w:sz w:val="32"/>
          <w:szCs w:val="32"/>
        </w:rPr>
        <w:t>一、收入支出决算总体情况说明</w:t>
      </w:r>
    </w:p>
    <w:p>
      <w:pPr>
        <w:spacing w:before="240"/>
        <w:ind w:firstLine="640" w:firstLineChars="200"/>
        <w:rPr>
          <w:rFonts w:ascii="仿宋_GB2312" w:eastAsia="仿宋_GB2312"/>
          <w:sz w:val="32"/>
          <w:szCs w:val="32"/>
        </w:rPr>
      </w:pPr>
      <w:r>
        <w:rPr>
          <w:rFonts w:hint="eastAsia" w:ascii="仿宋_GB2312" w:eastAsia="仿宋_GB2312"/>
          <w:sz w:val="32"/>
          <w:szCs w:val="32"/>
        </w:rPr>
        <w:t>2019年度收、支总计均为1124.6万元。与</w:t>
      </w:r>
      <w:r>
        <w:rPr>
          <w:rFonts w:hint="default" w:ascii="仿宋_GB2312" w:eastAsia="仿宋_GB2312"/>
          <w:sz w:val="32"/>
          <w:szCs w:val="32"/>
          <w:lang w:val="en"/>
        </w:rPr>
        <w:t>2018</w:t>
      </w:r>
      <w:r>
        <w:rPr>
          <w:rFonts w:hint="eastAsia" w:ascii="仿宋_GB2312" w:eastAsia="仿宋_GB2312"/>
          <w:sz w:val="32"/>
          <w:szCs w:val="32"/>
          <w:lang w:val="en" w:eastAsia="zh-CN"/>
        </w:rPr>
        <w:t>年</w:t>
      </w:r>
      <w:r>
        <w:rPr>
          <w:rFonts w:hint="eastAsia" w:ascii="仿宋_GB2312" w:eastAsia="仿宋_GB2312"/>
          <w:sz w:val="32"/>
          <w:szCs w:val="32"/>
        </w:rPr>
        <w:t>度相比，收、支总计增加137.16万元，</w:t>
      </w:r>
      <w:r>
        <w:rPr>
          <w:rFonts w:hint="eastAsia" w:ascii="仿宋_GB2312" w:eastAsia="仿宋_GB2312"/>
          <w:sz w:val="32"/>
          <w:szCs w:val="32"/>
          <w:lang w:eastAsia="zh-CN"/>
        </w:rPr>
        <w:t>上升</w:t>
      </w:r>
      <w:r>
        <w:rPr>
          <w:rFonts w:hint="eastAsia" w:ascii="仿宋_GB2312" w:eastAsia="仿宋_GB2312"/>
          <w:sz w:val="32"/>
          <w:szCs w:val="32"/>
        </w:rPr>
        <w:t>13.8%。主要原因是人员增加及宣传</w:t>
      </w:r>
      <w:r>
        <w:rPr>
          <w:rFonts w:hint="eastAsia" w:ascii="仿宋_GB2312" w:eastAsia="仿宋_GB2312"/>
          <w:sz w:val="32"/>
          <w:szCs w:val="32"/>
          <w:lang w:eastAsia="zh-CN"/>
        </w:rPr>
        <w:t>支出增加等</w:t>
      </w:r>
      <w:r>
        <w:rPr>
          <w:rFonts w:hint="eastAsia" w:ascii="仿宋_GB2312" w:eastAsia="仿宋_GB2312"/>
          <w:sz w:val="32"/>
          <w:szCs w:val="32"/>
        </w:rPr>
        <w:t>。</w:t>
      </w:r>
    </w:p>
    <w:p>
      <w:pPr>
        <w:spacing w:before="240"/>
        <w:ind w:firstLine="640" w:firstLineChars="200"/>
        <w:rPr>
          <w:rFonts w:ascii="黑体" w:hAnsi="黑体" w:eastAsia="黑体"/>
          <w:sz w:val="32"/>
          <w:szCs w:val="32"/>
        </w:rPr>
      </w:pPr>
      <w:r>
        <w:rPr>
          <w:rFonts w:hint="eastAsia" w:ascii="黑体" w:hAnsi="黑体" w:eastAsia="黑体"/>
          <w:sz w:val="32"/>
          <w:szCs w:val="32"/>
        </w:rPr>
        <w:t>二、收入决算情况说明</w:t>
      </w:r>
    </w:p>
    <w:p>
      <w:pPr>
        <w:ind w:firstLine="640" w:firstLineChars="200"/>
        <w:rPr>
          <w:rFonts w:ascii="仿宋_GB2312" w:eastAsia="仿宋_GB2312"/>
          <w:sz w:val="32"/>
          <w:szCs w:val="32"/>
        </w:rPr>
      </w:pPr>
      <w:r>
        <w:rPr>
          <w:rFonts w:hint="eastAsia" w:ascii="仿宋_GB2312" w:eastAsia="仿宋_GB2312"/>
          <w:sz w:val="32"/>
          <w:szCs w:val="32"/>
        </w:rPr>
        <w:t>2019年度收入合计1054.64万元，其中：财政拨款收入1054.64万元，占100%；上级补助收入0万元；事业收入0万元；经营收入0万元；附属单位上缴收入0万元；其他收入0万元。</w:t>
      </w:r>
    </w:p>
    <w:p>
      <w:pPr>
        <w:spacing w:before="240"/>
        <w:ind w:firstLine="640" w:firstLineChars="200"/>
        <w:rPr>
          <w:rFonts w:ascii="黑体" w:hAnsi="黑体" w:eastAsia="黑体"/>
          <w:sz w:val="32"/>
          <w:szCs w:val="32"/>
        </w:rPr>
      </w:pPr>
      <w:r>
        <w:rPr>
          <w:rFonts w:hint="eastAsia" w:ascii="黑体" w:hAnsi="黑体" w:eastAsia="黑体"/>
          <w:sz w:val="32"/>
          <w:szCs w:val="32"/>
        </w:rPr>
        <w:t>三、支出决算情况说明</w:t>
      </w:r>
    </w:p>
    <w:p>
      <w:pPr>
        <w:ind w:firstLine="640" w:firstLineChars="200"/>
        <w:rPr>
          <w:rFonts w:ascii="仿宋_GB2312" w:eastAsia="仿宋_GB2312"/>
          <w:sz w:val="32"/>
          <w:szCs w:val="32"/>
        </w:rPr>
      </w:pPr>
      <w:r>
        <w:rPr>
          <w:rFonts w:hint="eastAsia" w:ascii="仿宋_GB2312" w:eastAsia="仿宋_GB2312"/>
          <w:sz w:val="32"/>
          <w:szCs w:val="32"/>
        </w:rPr>
        <w:t>2019年度支出合计1064.36万元，其中：基本支出857.24万元，占80.5%；项目支出207.11万元，占19.5%；上缴上级支出0万元；经营支出0万元；对附属单位补助支出0万元。</w:t>
      </w:r>
    </w:p>
    <w:p>
      <w:pPr>
        <w:spacing w:before="240"/>
        <w:ind w:firstLine="640" w:firstLineChars="200"/>
        <w:rPr>
          <w:rFonts w:ascii="黑体" w:hAnsi="黑体" w:eastAsia="黑体"/>
          <w:sz w:val="32"/>
          <w:szCs w:val="32"/>
        </w:rPr>
      </w:pPr>
      <w:r>
        <w:rPr>
          <w:rFonts w:hint="eastAsia" w:ascii="黑体" w:hAnsi="黑体" w:eastAsia="黑体"/>
          <w:sz w:val="32"/>
          <w:szCs w:val="32"/>
        </w:rPr>
        <w:t>四、财政拨款收入支出决算总体情况说明</w:t>
      </w:r>
    </w:p>
    <w:p>
      <w:pPr>
        <w:ind w:firstLine="640" w:firstLineChars="200"/>
        <w:rPr>
          <w:rFonts w:ascii="仿宋_GB2312" w:eastAsia="仿宋_GB2312"/>
          <w:sz w:val="32"/>
          <w:szCs w:val="32"/>
        </w:rPr>
      </w:pPr>
      <w:r>
        <w:rPr>
          <w:rFonts w:hint="eastAsia" w:ascii="仿宋_GB2312" w:eastAsia="仿宋_GB2312"/>
          <w:sz w:val="32"/>
          <w:szCs w:val="32"/>
        </w:rPr>
        <w:t>2019年度财政拨款收、支总计均为1124.6万元。与上年度相比收、支总计增加137.16万元，</w:t>
      </w:r>
      <w:r>
        <w:rPr>
          <w:rFonts w:hint="eastAsia" w:ascii="仿宋_GB2312" w:eastAsia="仿宋_GB2312"/>
          <w:sz w:val="32"/>
          <w:szCs w:val="32"/>
          <w:lang w:eastAsia="zh-CN"/>
        </w:rPr>
        <w:t>上升</w:t>
      </w:r>
      <w:r>
        <w:rPr>
          <w:rFonts w:hint="eastAsia" w:ascii="仿宋_GB2312" w:eastAsia="仿宋_GB2312"/>
          <w:sz w:val="32"/>
          <w:szCs w:val="32"/>
        </w:rPr>
        <w:t>13.9%。主要原因是人员增加，宣传经费增加。</w:t>
      </w:r>
    </w:p>
    <w:p>
      <w:pPr>
        <w:spacing w:before="240"/>
        <w:ind w:firstLine="640" w:firstLineChars="200"/>
        <w:rPr>
          <w:rFonts w:ascii="黑体" w:hAnsi="黑体" w:eastAsia="黑体"/>
          <w:sz w:val="32"/>
          <w:szCs w:val="32"/>
        </w:rPr>
      </w:pPr>
      <w:r>
        <w:rPr>
          <w:rFonts w:hint="eastAsia" w:ascii="黑体" w:hAnsi="黑体" w:eastAsia="黑体"/>
          <w:sz w:val="32"/>
          <w:szCs w:val="32"/>
        </w:rPr>
        <w:t>五、一般公共预算财政拨款支出决算情况说明</w:t>
      </w:r>
    </w:p>
    <w:p>
      <w:pPr>
        <w:spacing w:before="240"/>
        <w:ind w:firstLine="640" w:firstLineChars="200"/>
        <w:rPr>
          <w:rFonts w:ascii="黑体" w:hAnsi="黑体" w:eastAsia="黑体"/>
          <w:sz w:val="32"/>
          <w:szCs w:val="32"/>
        </w:rPr>
      </w:pPr>
      <w:r>
        <w:rPr>
          <w:rFonts w:hint="eastAsia" w:ascii="黑体" w:hAnsi="黑体" w:eastAsia="黑体"/>
          <w:sz w:val="32"/>
          <w:szCs w:val="32"/>
        </w:rPr>
        <w:t>（一）总体情况。</w:t>
      </w:r>
    </w:p>
    <w:p>
      <w:pPr>
        <w:ind w:firstLine="640" w:firstLineChars="200"/>
        <w:rPr>
          <w:rFonts w:ascii="仿宋_GB2312" w:eastAsia="仿宋_GB2312"/>
          <w:sz w:val="32"/>
          <w:szCs w:val="32"/>
        </w:rPr>
      </w:pPr>
      <w:r>
        <w:rPr>
          <w:rFonts w:hint="eastAsia" w:ascii="仿宋_GB2312" w:eastAsia="仿宋_GB2312"/>
          <w:sz w:val="32"/>
          <w:szCs w:val="32"/>
        </w:rPr>
        <w:t>2019年度一般公共预算财政拨款支出1064.36万元，占本年支出合计的100%。与上年度相比，一般公共预算财政拨款支出增加978.74万元，增长</w:t>
      </w:r>
      <w:r>
        <w:rPr>
          <w:rFonts w:ascii="仿宋_GB2312" w:eastAsia="仿宋_GB2312"/>
          <w:sz w:val="32"/>
          <w:szCs w:val="32"/>
        </w:rPr>
        <w:t>92</w:t>
      </w:r>
      <w:r>
        <w:rPr>
          <w:rFonts w:hint="eastAsia" w:ascii="仿宋_GB2312" w:eastAsia="仿宋_GB2312"/>
          <w:sz w:val="32"/>
          <w:szCs w:val="32"/>
        </w:rPr>
        <w:t>%。主要原因是建设人大联络站、委员之家及组织大型调研、各类大型文艺活动。</w:t>
      </w:r>
    </w:p>
    <w:p>
      <w:pPr>
        <w:spacing w:before="240"/>
        <w:ind w:firstLine="640" w:firstLineChars="200"/>
        <w:rPr>
          <w:rFonts w:ascii="黑体" w:hAnsi="黑体" w:eastAsia="黑体"/>
          <w:sz w:val="32"/>
          <w:szCs w:val="32"/>
        </w:rPr>
      </w:pPr>
      <w:r>
        <w:rPr>
          <w:rFonts w:hint="eastAsia" w:ascii="黑体" w:hAnsi="黑体" w:eastAsia="黑体"/>
          <w:sz w:val="32"/>
          <w:szCs w:val="32"/>
        </w:rPr>
        <w:t>（二）结构情况。</w:t>
      </w:r>
    </w:p>
    <w:p>
      <w:pPr>
        <w:spacing w:before="240"/>
        <w:ind w:firstLine="640" w:firstLineChars="200"/>
        <w:rPr>
          <w:rFonts w:ascii="黑体" w:hAnsi="黑体" w:eastAsia="黑体"/>
          <w:sz w:val="32"/>
          <w:szCs w:val="32"/>
        </w:rPr>
      </w:pPr>
      <w:r>
        <w:rPr>
          <w:rFonts w:hint="eastAsia" w:ascii="仿宋_GB2312" w:eastAsia="仿宋_GB2312"/>
          <w:sz w:val="32"/>
          <w:szCs w:val="32"/>
        </w:rPr>
        <w:t>2019年度一般公共预算财政拨款支出1064.36万元，主要用于以下方面：一般公共服务（类）支出995.4万元，占94%；社会保障和就业支出42.9万元，占4%；卫生健康支出27.07万元，占2%。</w:t>
      </w:r>
    </w:p>
    <w:p>
      <w:pPr>
        <w:spacing w:before="240"/>
        <w:ind w:firstLine="640" w:firstLineChars="200"/>
        <w:rPr>
          <w:rFonts w:ascii="黑体" w:hAnsi="黑体" w:eastAsia="黑体"/>
          <w:sz w:val="32"/>
          <w:szCs w:val="32"/>
        </w:rPr>
      </w:pPr>
      <w:r>
        <w:rPr>
          <w:rFonts w:hint="eastAsia" w:ascii="黑体" w:hAnsi="黑体" w:eastAsia="黑体"/>
          <w:sz w:val="32"/>
          <w:szCs w:val="32"/>
        </w:rPr>
        <w:t>（三）具体情况。</w:t>
      </w:r>
    </w:p>
    <w:p>
      <w:pPr>
        <w:ind w:firstLine="640" w:firstLineChars="200"/>
        <w:rPr>
          <w:rFonts w:ascii="仿宋_GB2312" w:eastAsia="仿宋_GB2312"/>
          <w:sz w:val="32"/>
          <w:szCs w:val="32"/>
        </w:rPr>
      </w:pPr>
      <w:r>
        <w:rPr>
          <w:rFonts w:hint="eastAsia" w:ascii="仿宋_GB2312" w:eastAsia="仿宋_GB2312"/>
          <w:sz w:val="32"/>
          <w:szCs w:val="32"/>
        </w:rPr>
        <w:t>2019年度一般公共预算财政拨款支出年初预算为1540.64万元，支出决算为1064.36万元，完成年初预算的69.1%。其中：</w:t>
      </w:r>
    </w:p>
    <w:p>
      <w:pPr>
        <w:widowControl/>
        <w:spacing w:line="590" w:lineRule="exact"/>
        <w:ind w:firstLine="643" w:firstLineChars="200"/>
        <w:rPr>
          <w:rFonts w:hint="eastAsia" w:ascii="仿宋_GB2312" w:hAnsi="仿宋_GB2312" w:eastAsia="仿宋_GB2312" w:cs="仿宋_GB2312"/>
          <w:sz w:val="32"/>
          <w:szCs w:val="32"/>
          <w:highlight w:val="red"/>
        </w:rPr>
      </w:pPr>
      <w:r>
        <w:rPr>
          <w:rFonts w:hint="eastAsia" w:ascii="仿宋_GB2312" w:eastAsia="仿宋_GB2312"/>
          <w:b/>
          <w:bCs/>
          <w:sz w:val="32"/>
          <w:szCs w:val="32"/>
          <w:lang w:val="en-US" w:eastAsia="zh-CN"/>
        </w:rPr>
        <w:t>1、一般公共服务（类）政协事务（室）委员视察（项）</w:t>
      </w:r>
      <w:r>
        <w:rPr>
          <w:rFonts w:hint="eastAsia" w:ascii="仿宋_GB2312" w:eastAsia="仿宋_GB2312"/>
          <w:sz w:val="32"/>
          <w:szCs w:val="32"/>
          <w:lang w:val="en-US" w:eastAsia="zh-CN"/>
        </w:rPr>
        <w:t>：</w:t>
      </w:r>
      <w:r>
        <w:rPr>
          <w:rFonts w:hint="eastAsia" w:ascii="仿宋_GB2312" w:hAnsi="仿宋_GB2312" w:eastAsia="仿宋_GB2312" w:cs="仿宋_GB2312"/>
          <w:sz w:val="32"/>
          <w:szCs w:val="32"/>
        </w:rPr>
        <w:t>年初预算为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万元，支出决算为</w:t>
      </w:r>
      <w:r>
        <w:rPr>
          <w:rFonts w:hint="eastAsia" w:ascii="仿宋_GB2312" w:hAnsi="仿宋_GB2312" w:eastAsia="仿宋_GB2312" w:cs="仿宋_GB2312"/>
          <w:sz w:val="32"/>
          <w:szCs w:val="32"/>
          <w:lang w:val="en-US" w:eastAsia="zh-CN"/>
        </w:rPr>
        <w:t>0.15</w:t>
      </w:r>
      <w:r>
        <w:rPr>
          <w:rFonts w:hint="eastAsia" w:ascii="仿宋_GB2312" w:hAnsi="仿宋_GB2312" w:eastAsia="仿宋_GB2312" w:cs="仿宋_GB2312"/>
          <w:sz w:val="32"/>
          <w:szCs w:val="32"/>
        </w:rPr>
        <w:t>万元，完成年初预算的</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%。决算数与年初预算数存在差异的主要原因是</w:t>
      </w:r>
      <w:r>
        <w:rPr>
          <w:rFonts w:hint="eastAsia" w:ascii="仿宋_GB2312" w:hAnsi="仿宋_GB2312" w:eastAsia="仿宋_GB2312" w:cs="仿宋_GB2312"/>
          <w:sz w:val="32"/>
          <w:szCs w:val="32"/>
          <w:lang w:eastAsia="zh-CN"/>
        </w:rPr>
        <w:t>政协相关事务增加</w:t>
      </w:r>
      <w:r>
        <w:rPr>
          <w:rFonts w:hint="eastAsia" w:ascii="仿宋_GB2312" w:hAnsi="仿宋_GB2312" w:eastAsia="仿宋_GB2312" w:cs="仿宋_GB2312"/>
          <w:sz w:val="32"/>
          <w:szCs w:val="32"/>
          <w:highlight w:val="none"/>
          <w:lang w:eastAsia="zh-CN"/>
        </w:rPr>
        <w:t>。</w:t>
      </w:r>
    </w:p>
    <w:p>
      <w:pPr>
        <w:ind w:firstLine="643" w:firstLineChars="200"/>
        <w:rPr>
          <w:rFonts w:hint="eastAsia" w:ascii="仿宋_GB2312" w:hAnsi="仿宋_GB2312" w:eastAsia="仿宋_GB2312" w:cs="仿宋_GB2312"/>
          <w:sz w:val="32"/>
          <w:szCs w:val="32"/>
          <w:lang w:val="en-US" w:eastAsia="zh-CN"/>
        </w:rPr>
      </w:pPr>
      <w:r>
        <w:rPr>
          <w:rFonts w:hint="eastAsia" w:ascii="仿宋_GB2312" w:eastAsia="仿宋_GB2312"/>
          <w:b/>
          <w:bCs/>
          <w:sz w:val="32"/>
          <w:szCs w:val="32"/>
          <w:lang w:val="en-US" w:eastAsia="zh-CN"/>
        </w:rPr>
        <w:t>2、一般公共服务（类）政府办公厅及相关机构事务（款）行政运行（项）</w:t>
      </w:r>
      <w:r>
        <w:rPr>
          <w:rFonts w:hint="eastAsia" w:ascii="仿宋_GB2312" w:eastAsia="仿宋_GB2312"/>
          <w:sz w:val="32"/>
          <w:szCs w:val="32"/>
          <w:lang w:val="en-US" w:eastAsia="zh-CN"/>
        </w:rPr>
        <w:t>：</w:t>
      </w:r>
      <w:r>
        <w:rPr>
          <w:rFonts w:hint="eastAsia" w:ascii="仿宋_GB2312" w:hAnsi="仿宋_GB2312" w:eastAsia="仿宋_GB2312" w:cs="仿宋_GB2312"/>
          <w:sz w:val="32"/>
          <w:szCs w:val="32"/>
          <w:lang w:val="en-US" w:eastAsia="zh-CN"/>
        </w:rPr>
        <w:t>年初预算为700.94万元，支出决算数为740.68万元，完成年初预算的106%。决算数与年初预算数存在差异的主要原因有部分工作职能调整。</w:t>
      </w:r>
    </w:p>
    <w:p>
      <w:pPr>
        <w:ind w:firstLine="643" w:firstLineChars="200"/>
        <w:rPr>
          <w:rFonts w:hint="eastAsia" w:ascii="仿宋_GB2312" w:hAnsi="仿宋_GB2312" w:eastAsia="仿宋_GB2312" w:cs="仿宋_GB2312"/>
          <w:sz w:val="32"/>
          <w:szCs w:val="32"/>
          <w:lang w:val="en-US" w:eastAsia="zh-CN"/>
        </w:rPr>
      </w:pPr>
      <w:r>
        <w:rPr>
          <w:rFonts w:hint="eastAsia" w:ascii="仿宋_GB2312" w:eastAsia="仿宋_GB2312"/>
          <w:b/>
          <w:bCs/>
          <w:sz w:val="32"/>
          <w:szCs w:val="32"/>
          <w:lang w:val="en-US" w:eastAsia="zh-CN"/>
        </w:rPr>
        <w:t>3、一般公共服务（类）政府办公厅及相关机构事务（款）事业运行（项）</w:t>
      </w:r>
      <w:r>
        <w:rPr>
          <w:rFonts w:hint="eastAsia" w:ascii="仿宋_GB2312" w:eastAsia="仿宋_GB2312"/>
          <w:sz w:val="32"/>
          <w:szCs w:val="32"/>
          <w:lang w:val="en-US" w:eastAsia="zh-CN"/>
        </w:rPr>
        <w:t>：</w:t>
      </w:r>
      <w:r>
        <w:rPr>
          <w:rFonts w:hint="eastAsia" w:ascii="仿宋_GB2312" w:hAnsi="仿宋_GB2312" w:eastAsia="仿宋_GB2312" w:cs="仿宋_GB2312"/>
          <w:sz w:val="32"/>
          <w:szCs w:val="32"/>
          <w:lang w:val="en-US" w:eastAsia="zh-CN"/>
        </w:rPr>
        <w:t>年初预算为50万元，支出决算数为47.56万元，完成年初预算的106%。决算数与年初预算数存在差异的主要原因有部分工作职能调整。</w:t>
      </w:r>
    </w:p>
    <w:p>
      <w:pPr>
        <w:ind w:firstLine="643" w:firstLineChars="200"/>
        <w:rPr>
          <w:rFonts w:hint="eastAsia" w:ascii="仿宋_GB2312" w:hAnsi="仿宋_GB2312" w:eastAsia="仿宋_GB2312" w:cs="仿宋_GB2312"/>
          <w:sz w:val="32"/>
          <w:szCs w:val="32"/>
          <w:lang w:val="en-US" w:eastAsia="zh-CN"/>
        </w:rPr>
      </w:pPr>
      <w:r>
        <w:rPr>
          <w:rFonts w:hint="eastAsia" w:ascii="仿宋_GB2312" w:eastAsia="仿宋_GB2312"/>
          <w:b/>
          <w:bCs/>
          <w:sz w:val="32"/>
          <w:szCs w:val="32"/>
          <w:lang w:val="en-US" w:eastAsia="zh-CN"/>
        </w:rPr>
        <w:t>4、一般公共服务（类）其他政府办公厅（室）及相关机构事务支出（项）</w:t>
      </w:r>
      <w:r>
        <w:rPr>
          <w:rFonts w:hint="eastAsia" w:ascii="仿宋_GB2312" w:eastAsia="仿宋_GB2312"/>
          <w:sz w:val="32"/>
          <w:szCs w:val="32"/>
          <w:lang w:val="en-US" w:eastAsia="zh-CN"/>
        </w:rPr>
        <w:t>：</w:t>
      </w:r>
      <w:r>
        <w:rPr>
          <w:rFonts w:hint="eastAsia" w:ascii="仿宋_GB2312" w:hAnsi="仿宋_GB2312" w:eastAsia="仿宋_GB2312" w:cs="仿宋_GB2312"/>
          <w:sz w:val="32"/>
          <w:szCs w:val="32"/>
          <w:lang w:val="en-US" w:eastAsia="zh-CN"/>
        </w:rPr>
        <w:t>年初预算为598万元，支出决算数为80.57万元，完成年初预算的13%。决算数与年初预算数存在差异的主要原因有部分公务接待、外事活动工作经费支出减少。</w:t>
      </w:r>
    </w:p>
    <w:p>
      <w:pPr>
        <w:ind w:firstLine="643" w:firstLineChars="200"/>
        <w:rPr>
          <w:rFonts w:hint="eastAsia" w:ascii="仿宋_GB2312" w:hAnsi="仿宋_GB2312" w:eastAsia="仿宋_GB2312" w:cs="仿宋_GB2312"/>
          <w:sz w:val="32"/>
          <w:szCs w:val="32"/>
          <w:lang w:val="en-US" w:eastAsia="zh-CN"/>
        </w:rPr>
      </w:pPr>
      <w:r>
        <w:rPr>
          <w:rFonts w:hint="eastAsia" w:ascii="仿宋_GB2312" w:eastAsia="仿宋_GB2312"/>
          <w:b/>
          <w:bCs/>
          <w:sz w:val="32"/>
          <w:szCs w:val="32"/>
          <w:lang w:val="en-US" w:eastAsia="zh-CN"/>
        </w:rPr>
        <w:t>3、一般公共服务（类）商贸事务（款）招商引资（项）</w:t>
      </w:r>
      <w:r>
        <w:rPr>
          <w:rFonts w:hint="eastAsia" w:ascii="仿宋_GB2312" w:eastAsia="仿宋_GB2312"/>
          <w:sz w:val="32"/>
          <w:szCs w:val="32"/>
          <w:lang w:val="en-US" w:eastAsia="zh-CN"/>
        </w:rPr>
        <w:t>：</w:t>
      </w:r>
      <w:r>
        <w:rPr>
          <w:rFonts w:hint="eastAsia" w:ascii="仿宋_GB2312" w:hAnsi="仿宋_GB2312" w:eastAsia="仿宋_GB2312" w:cs="仿宋_GB2312"/>
          <w:sz w:val="32"/>
          <w:szCs w:val="32"/>
          <w:lang w:val="en-US" w:eastAsia="zh-CN"/>
        </w:rPr>
        <w:t>年初预算为3万元，支出决算数为2.66万元，完成年初预算的89%。决算数与年初预算数存在差异的主要原因有外出考察学习费用降低。</w:t>
      </w:r>
    </w:p>
    <w:p>
      <w:pPr>
        <w:ind w:firstLine="643" w:firstLineChars="200"/>
        <w:rPr>
          <w:rFonts w:hint="eastAsia" w:ascii="仿宋_GB2312" w:hAnsi="仿宋_GB2312" w:eastAsia="仿宋_GB2312" w:cs="仿宋_GB2312"/>
          <w:sz w:val="32"/>
          <w:szCs w:val="32"/>
          <w:lang w:val="en-US" w:eastAsia="zh-CN"/>
        </w:rPr>
      </w:pPr>
      <w:r>
        <w:rPr>
          <w:rFonts w:hint="eastAsia" w:ascii="仿宋_GB2312" w:eastAsia="仿宋_GB2312"/>
          <w:b/>
          <w:bCs/>
          <w:sz w:val="32"/>
          <w:szCs w:val="32"/>
          <w:lang w:val="en-US" w:eastAsia="zh-CN"/>
        </w:rPr>
        <w:t>4、一般公共服务（类）宣传事务（款）其他宣传事务支出（项）</w:t>
      </w:r>
      <w:r>
        <w:rPr>
          <w:rFonts w:hint="eastAsia" w:ascii="仿宋_GB2312" w:eastAsia="仿宋_GB2312"/>
          <w:sz w:val="32"/>
          <w:szCs w:val="32"/>
          <w:lang w:val="en-US" w:eastAsia="zh-CN"/>
        </w:rPr>
        <w:t>：</w:t>
      </w:r>
      <w:r>
        <w:rPr>
          <w:rFonts w:hint="eastAsia" w:ascii="仿宋_GB2312" w:hAnsi="仿宋_GB2312" w:eastAsia="仿宋_GB2312" w:cs="仿宋_GB2312"/>
          <w:sz w:val="32"/>
          <w:szCs w:val="32"/>
          <w:lang w:val="en-US" w:eastAsia="zh-CN"/>
        </w:rPr>
        <w:t>年初预算为119万元，支出决算数为123.77万元，完成年初预算的104%。决算数与年初预算数存在差异的主要原因对外宣传力度增加。</w:t>
      </w:r>
    </w:p>
    <w:p>
      <w:pPr>
        <w:ind w:firstLine="643" w:firstLineChars="200"/>
        <w:rPr>
          <w:rFonts w:hint="eastAsia" w:ascii="仿宋_GB2312" w:hAnsi="仿宋_GB2312" w:eastAsia="仿宋_GB2312" w:cs="仿宋_GB2312"/>
          <w:sz w:val="32"/>
          <w:szCs w:val="32"/>
          <w:lang w:val="en-US" w:eastAsia="zh-CN"/>
        </w:rPr>
      </w:pPr>
      <w:r>
        <w:rPr>
          <w:rFonts w:hint="eastAsia" w:ascii="仿宋_GB2312" w:eastAsia="仿宋_GB2312"/>
          <w:b/>
          <w:bCs/>
          <w:sz w:val="32"/>
          <w:szCs w:val="32"/>
          <w:lang w:val="en-US" w:eastAsia="zh-CN"/>
        </w:rPr>
        <w:t>5、社会保障和就业（类）行政事业（款）机关事业单位基本养老保险缴费支出（项）：</w:t>
      </w:r>
      <w:r>
        <w:rPr>
          <w:rFonts w:hint="eastAsia" w:ascii="仿宋_GB2312" w:hAnsi="仿宋_GB2312" w:eastAsia="仿宋_GB2312" w:cs="仿宋_GB2312"/>
          <w:sz w:val="32"/>
          <w:szCs w:val="32"/>
          <w:lang w:val="en-US" w:eastAsia="zh-CN"/>
        </w:rPr>
        <w:t>年初预算为37.96万元，支出决算数为40.97万元，完成年初预算的108%。决算数与年初预算数存在差异的主要原因有缴费基数调整。</w:t>
      </w:r>
    </w:p>
    <w:p>
      <w:pPr>
        <w:ind w:firstLine="643" w:firstLineChars="200"/>
        <w:rPr>
          <w:rFonts w:hint="eastAsia" w:ascii="仿宋_GB2312" w:hAnsi="仿宋_GB2312" w:eastAsia="仿宋_GB2312" w:cs="仿宋_GB2312"/>
          <w:sz w:val="32"/>
          <w:szCs w:val="32"/>
          <w:lang w:val="en-US" w:eastAsia="zh-CN"/>
        </w:rPr>
      </w:pPr>
      <w:r>
        <w:rPr>
          <w:rFonts w:hint="eastAsia" w:ascii="仿宋_GB2312" w:eastAsia="仿宋_GB2312"/>
          <w:b/>
          <w:bCs/>
          <w:sz w:val="32"/>
          <w:szCs w:val="32"/>
          <w:lang w:val="en-US" w:eastAsia="zh-CN"/>
        </w:rPr>
        <w:t>6、社会保障和就业（类）行政事业（款）其他社会保障和就业支出（项）：</w:t>
      </w:r>
      <w:r>
        <w:rPr>
          <w:rFonts w:hint="eastAsia" w:ascii="仿宋_GB2312" w:hAnsi="仿宋_GB2312" w:eastAsia="仿宋_GB2312" w:cs="仿宋_GB2312"/>
          <w:sz w:val="32"/>
          <w:szCs w:val="32"/>
          <w:lang w:val="en-US" w:eastAsia="zh-CN"/>
        </w:rPr>
        <w:t>年初预算为0.98万元，支出决算数为0.92万元，完成年初预算的94%。决算数与年初预算数存在差异的主要原因有缴费基数调整。</w:t>
      </w:r>
    </w:p>
    <w:p>
      <w:pPr>
        <w:ind w:firstLine="643" w:firstLineChars="200"/>
        <w:rPr>
          <w:rFonts w:hint="eastAsia" w:ascii="仿宋_GB2312" w:hAnsi="仿宋_GB2312" w:eastAsia="仿宋_GB2312" w:cs="仿宋_GB2312"/>
          <w:color w:val="000000"/>
          <w:kern w:val="0"/>
          <w:sz w:val="32"/>
          <w:szCs w:val="32"/>
          <w:lang w:val="en-US" w:eastAsia="zh-CN" w:bidi="ar"/>
        </w:rPr>
      </w:pPr>
      <w:r>
        <w:rPr>
          <w:rFonts w:hint="eastAsia" w:ascii="仿宋_GB2312" w:eastAsia="仿宋_GB2312"/>
          <w:b/>
          <w:bCs/>
          <w:sz w:val="32"/>
          <w:szCs w:val="32"/>
          <w:lang w:val="en-US" w:eastAsia="zh-CN"/>
        </w:rPr>
        <w:t>7、医疗卫生与计划生育支出（类）行政事业单位医疗（款）行政单位医疗（项）：</w:t>
      </w:r>
      <w:r>
        <w:rPr>
          <w:rFonts w:hint="eastAsia" w:ascii="仿宋_GB2312" w:hAnsi="仿宋_GB2312" w:eastAsia="仿宋_GB2312" w:cs="仿宋_GB2312"/>
          <w:sz w:val="32"/>
          <w:szCs w:val="32"/>
          <w:lang w:val="en-US" w:eastAsia="zh-CN"/>
        </w:rPr>
        <w:t>年初预算为15.38万元，支出决算数为13.55万元，完成年初预算的88%。决算数与年初预算数存在差异的主要原因有缴费基数调整。</w:t>
      </w:r>
    </w:p>
    <w:p>
      <w:pPr>
        <w:ind w:firstLine="643" w:firstLineChars="200"/>
        <w:rPr>
          <w:rFonts w:hint="eastAsia" w:ascii="仿宋_GB2312" w:hAnsi="仿宋_GB2312" w:eastAsia="仿宋_GB2312" w:cs="仿宋_GB2312"/>
          <w:sz w:val="32"/>
          <w:szCs w:val="32"/>
          <w:lang w:val="en-US" w:eastAsia="zh-CN"/>
        </w:rPr>
      </w:pPr>
      <w:r>
        <w:rPr>
          <w:rFonts w:hint="eastAsia" w:ascii="仿宋_GB2312" w:eastAsia="仿宋_GB2312"/>
          <w:b/>
          <w:bCs/>
          <w:sz w:val="32"/>
          <w:szCs w:val="32"/>
          <w:lang w:val="en-US" w:eastAsia="zh-CN"/>
        </w:rPr>
        <w:t>8、医疗卫生与计划生育支出（类）行政事业单位医疗（款）公务员医疗补助（项）：</w:t>
      </w:r>
      <w:r>
        <w:rPr>
          <w:rFonts w:hint="eastAsia" w:ascii="仿宋_GB2312" w:hAnsi="仿宋_GB2312" w:eastAsia="仿宋_GB2312" w:cs="仿宋_GB2312"/>
          <w:sz w:val="32"/>
          <w:szCs w:val="32"/>
          <w:lang w:val="en-US" w:eastAsia="zh-CN"/>
        </w:rPr>
        <w:t>年初预算为15.38万元，支出决算数为13.52万元，完成年初预算的88%。决算数与年初预算数存在差异的主要原因有缴费基数调整。</w:t>
      </w:r>
    </w:p>
    <w:p>
      <w:pPr>
        <w:ind w:firstLine="640" w:firstLineChars="200"/>
        <w:rPr>
          <w:rFonts w:ascii="黑体" w:hAnsi="黑体" w:eastAsia="黑体"/>
          <w:sz w:val="32"/>
          <w:szCs w:val="32"/>
        </w:rPr>
      </w:pPr>
      <w:r>
        <w:rPr>
          <w:rFonts w:hint="eastAsia" w:ascii="黑体" w:hAnsi="黑体" w:eastAsia="黑体"/>
          <w:sz w:val="32"/>
          <w:szCs w:val="32"/>
        </w:rPr>
        <w:t>六、一般公共预算财政拨款基本支出决算情况说明</w:t>
      </w:r>
    </w:p>
    <w:p>
      <w:pPr>
        <w:ind w:firstLine="640" w:firstLineChars="200"/>
        <w:rPr>
          <w:rFonts w:ascii="仿宋_GB2312" w:eastAsia="仿宋_GB2312"/>
          <w:sz w:val="32"/>
          <w:szCs w:val="32"/>
        </w:rPr>
      </w:pPr>
      <w:r>
        <w:rPr>
          <w:rFonts w:hint="eastAsia" w:ascii="仿宋_GB2312" w:eastAsia="仿宋_GB2312"/>
          <w:sz w:val="32"/>
          <w:szCs w:val="32"/>
        </w:rPr>
        <w:t>2019年度一般公共预算财政拨款基本支出857.24万元。其中：人员经费796.18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61.07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ind w:firstLine="640" w:firstLineChars="200"/>
        <w:rPr>
          <w:rFonts w:ascii="黑体" w:hAnsi="黑体" w:eastAsia="黑体"/>
          <w:sz w:val="32"/>
          <w:szCs w:val="32"/>
        </w:rPr>
      </w:pPr>
      <w:r>
        <w:rPr>
          <w:rFonts w:hint="eastAsia" w:ascii="黑体" w:hAnsi="黑体" w:eastAsia="黑体"/>
          <w:sz w:val="32"/>
          <w:szCs w:val="32"/>
        </w:rPr>
        <w:t>七、一般公共预算财政拨款“三公”经费支出决算情况说明</w:t>
      </w:r>
    </w:p>
    <w:p>
      <w:pPr>
        <w:ind w:firstLine="640" w:firstLineChars="200"/>
        <w:rPr>
          <w:rFonts w:ascii="仿宋_GB2312" w:eastAsia="仿宋_GB2312"/>
          <w:sz w:val="32"/>
          <w:szCs w:val="32"/>
        </w:rPr>
      </w:pPr>
      <w:r>
        <w:rPr>
          <w:rFonts w:hint="eastAsia" w:ascii="仿宋_GB2312" w:eastAsia="仿宋_GB2312"/>
          <w:sz w:val="32"/>
          <w:szCs w:val="32"/>
        </w:rPr>
        <w:t>（一）“三公”经费财政拨款支出决算总体情况说明。</w:t>
      </w:r>
    </w:p>
    <w:p>
      <w:pPr>
        <w:ind w:firstLine="640" w:firstLineChars="200"/>
        <w:rPr>
          <w:rFonts w:ascii="仿宋_GB2312" w:eastAsia="仿宋_GB2312"/>
          <w:sz w:val="32"/>
          <w:szCs w:val="32"/>
        </w:rPr>
      </w:pPr>
      <w:r>
        <w:rPr>
          <w:rFonts w:hint="eastAsia" w:ascii="仿宋_GB2312" w:eastAsia="仿宋_GB2312"/>
          <w:sz w:val="32"/>
          <w:szCs w:val="32"/>
        </w:rPr>
        <w:t>2019年度“三公”经费财政拨款支出预算为6.7万元，支出决算为0.77万元，完成预算的11.5%。2019年度“三公”经费支出决算数与预算数存在差异的主要原因是公务接待次数比上年减少。</w:t>
      </w:r>
    </w:p>
    <w:p>
      <w:pPr>
        <w:ind w:firstLine="640" w:firstLineChars="200"/>
        <w:rPr>
          <w:rFonts w:ascii="仿宋_GB2312" w:eastAsia="仿宋_GB2312"/>
          <w:sz w:val="32"/>
          <w:szCs w:val="32"/>
        </w:rPr>
      </w:pPr>
      <w:r>
        <w:rPr>
          <w:rFonts w:hint="eastAsia" w:ascii="仿宋_GB2312" w:eastAsia="仿宋_GB2312"/>
          <w:sz w:val="32"/>
          <w:szCs w:val="32"/>
        </w:rPr>
        <w:t>（二）“三公”经费财政拨款支出决算具体情况说明。</w:t>
      </w:r>
    </w:p>
    <w:p>
      <w:pPr>
        <w:ind w:firstLine="640" w:firstLineChars="200"/>
        <w:rPr>
          <w:rFonts w:ascii="仿宋_GB2312" w:eastAsia="仿宋_GB2312"/>
          <w:sz w:val="32"/>
          <w:szCs w:val="32"/>
        </w:rPr>
      </w:pPr>
      <w:r>
        <w:rPr>
          <w:rFonts w:hint="eastAsia" w:ascii="仿宋_GB2312" w:eastAsia="仿宋_GB2312"/>
          <w:sz w:val="32"/>
          <w:szCs w:val="32"/>
        </w:rPr>
        <w:t>2019年度“三公”经费财政拨款支出决算中，因公出国（境）费支出决算0万元；公务用车购置及运行费支出决算0.4万元，完成预算的2</w:t>
      </w:r>
      <w:r>
        <w:rPr>
          <w:rFonts w:ascii="仿宋_GB2312" w:eastAsia="仿宋_GB2312"/>
          <w:sz w:val="32"/>
          <w:szCs w:val="32"/>
        </w:rPr>
        <w:t>3.53</w:t>
      </w:r>
      <w:r>
        <w:rPr>
          <w:rFonts w:hint="eastAsia" w:ascii="仿宋_GB2312" w:eastAsia="仿宋_GB2312"/>
          <w:sz w:val="32"/>
          <w:szCs w:val="32"/>
        </w:rPr>
        <w:t>%，占</w:t>
      </w:r>
      <w:r>
        <w:rPr>
          <w:rFonts w:ascii="仿宋_GB2312" w:eastAsia="仿宋_GB2312"/>
          <w:sz w:val="32"/>
          <w:szCs w:val="32"/>
        </w:rPr>
        <w:t>51.95</w:t>
      </w:r>
      <w:r>
        <w:rPr>
          <w:rFonts w:hint="eastAsia" w:ascii="仿宋_GB2312" w:eastAsia="仿宋_GB2312"/>
          <w:sz w:val="32"/>
          <w:szCs w:val="32"/>
        </w:rPr>
        <w:t>%；公务接待费支出决算0.37万元，完成预算的</w:t>
      </w:r>
      <w:r>
        <w:rPr>
          <w:rFonts w:ascii="仿宋_GB2312" w:eastAsia="仿宋_GB2312"/>
          <w:sz w:val="32"/>
          <w:szCs w:val="32"/>
        </w:rPr>
        <w:t>0.74</w:t>
      </w:r>
      <w:r>
        <w:rPr>
          <w:rFonts w:hint="eastAsia" w:ascii="仿宋_GB2312" w:eastAsia="仿宋_GB2312"/>
          <w:sz w:val="32"/>
          <w:szCs w:val="32"/>
        </w:rPr>
        <w:t>%，占</w:t>
      </w:r>
      <w:r>
        <w:rPr>
          <w:rFonts w:ascii="仿宋_GB2312" w:eastAsia="仿宋_GB2312"/>
          <w:sz w:val="32"/>
          <w:szCs w:val="32"/>
        </w:rPr>
        <w:t>48.05</w:t>
      </w:r>
      <w:r>
        <w:rPr>
          <w:rFonts w:hint="eastAsia" w:ascii="仿宋_GB2312" w:eastAsia="仿宋_GB2312"/>
          <w:sz w:val="32"/>
          <w:szCs w:val="32"/>
        </w:rPr>
        <w:t>%。具体情况如下：</w:t>
      </w:r>
    </w:p>
    <w:p>
      <w:pPr>
        <w:ind w:firstLine="643" w:firstLineChars="200"/>
        <w:rPr>
          <w:rFonts w:hint="default" w:ascii="仿宋_GB2312" w:eastAsia="仿宋_GB2312"/>
          <w:sz w:val="32"/>
          <w:szCs w:val="32"/>
          <w:lang w:val="en-US" w:eastAsia="zh-CN"/>
        </w:rPr>
      </w:pPr>
      <w:r>
        <w:rPr>
          <w:rFonts w:hint="eastAsia" w:ascii="仿宋_GB2312" w:eastAsia="仿宋_GB2312"/>
          <w:b/>
          <w:bCs/>
          <w:sz w:val="32"/>
          <w:szCs w:val="32"/>
        </w:rPr>
        <w:t>1．因公出国（境）费</w:t>
      </w:r>
      <w:r>
        <w:rPr>
          <w:rFonts w:hint="eastAsia" w:ascii="仿宋_GB2312" w:eastAsia="仿宋_GB2312"/>
          <w:sz w:val="32"/>
          <w:szCs w:val="32"/>
        </w:rPr>
        <w:t>年初预算为0万元，支出决算为0万元</w:t>
      </w:r>
      <w:r>
        <w:rPr>
          <w:rFonts w:hint="eastAsia" w:ascii="仿宋_GB2312" w:hAnsi="仿宋_GB2312" w:eastAsia="仿宋_GB2312" w:cs="仿宋_GB2312"/>
          <w:sz w:val="32"/>
          <w:szCs w:val="32"/>
        </w:rPr>
        <w:t>，完成年初预算的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全年因公出国（境）团组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个，累计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hint="eastAsia" w:ascii="仿宋_GB2312" w:eastAsia="仿宋_GB2312"/>
          <w:sz w:val="32"/>
          <w:szCs w:val="32"/>
        </w:rPr>
        <w:t>。</w:t>
      </w:r>
      <w:r>
        <w:rPr>
          <w:rFonts w:hint="eastAsia" w:ascii="仿宋_GB2312" w:eastAsia="仿宋_GB2312"/>
          <w:sz w:val="32"/>
          <w:szCs w:val="32"/>
          <w:lang w:val="en-US" w:eastAsia="zh-CN"/>
        </w:rPr>
        <w:t>2019年未安排因公出国（境）团相关工作。</w:t>
      </w:r>
    </w:p>
    <w:p>
      <w:pPr>
        <w:ind w:firstLine="643" w:firstLineChars="200"/>
        <w:rPr>
          <w:rFonts w:ascii="仿宋_GB2312" w:eastAsia="仿宋_GB2312"/>
          <w:sz w:val="32"/>
          <w:szCs w:val="32"/>
        </w:rPr>
      </w:pPr>
      <w:r>
        <w:rPr>
          <w:rFonts w:hint="eastAsia" w:ascii="仿宋_GB2312" w:eastAsia="仿宋_GB2312"/>
          <w:b/>
          <w:bCs/>
          <w:sz w:val="32"/>
          <w:szCs w:val="32"/>
        </w:rPr>
        <w:t>2．公务用车购置及运行费</w:t>
      </w:r>
      <w:r>
        <w:rPr>
          <w:rFonts w:hint="eastAsia" w:ascii="仿宋_GB2312" w:eastAsia="仿宋_GB2312"/>
          <w:sz w:val="32"/>
          <w:szCs w:val="32"/>
        </w:rPr>
        <w:t>年初预算为1.7万元，支出决算为</w:t>
      </w:r>
      <w:r>
        <w:rPr>
          <w:rFonts w:hint="eastAsia" w:ascii="仿宋_GB2312" w:eastAsia="仿宋_GB2312"/>
          <w:sz w:val="32"/>
          <w:szCs w:val="32"/>
          <w:lang w:val="en-US" w:eastAsia="zh-CN"/>
        </w:rPr>
        <w:t>0.4</w:t>
      </w:r>
      <w:r>
        <w:rPr>
          <w:rFonts w:hint="eastAsia" w:ascii="仿宋_GB2312" w:eastAsia="仿宋_GB2312"/>
          <w:sz w:val="32"/>
          <w:szCs w:val="32"/>
        </w:rPr>
        <w:t>万元，完成年初预算的23.5%。决算数与年初预算数存在差异的主要原因是控制公务用车使用范围，维护费用减少。其中：</w:t>
      </w:r>
    </w:p>
    <w:p>
      <w:pPr>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公务用车购置支出为0万元，购置车辆0辆。</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2</w:t>
      </w:r>
      <w:r>
        <w:rPr>
          <w:rFonts w:hint="eastAsia" w:ascii="仿宋_GB2312" w:eastAsia="仿宋_GB2312"/>
          <w:sz w:val="32"/>
          <w:szCs w:val="32"/>
          <w:lang w:eastAsia="zh-CN"/>
        </w:rPr>
        <w:t>）</w:t>
      </w:r>
      <w:r>
        <w:rPr>
          <w:rFonts w:hint="eastAsia" w:ascii="仿宋_GB2312" w:eastAsia="仿宋_GB2312"/>
          <w:sz w:val="32"/>
          <w:szCs w:val="32"/>
        </w:rPr>
        <w:t>公务用车运行支出0.4万元。主要用于车辆日常维护。</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主要原因：车辆购置时间较长，车况较差。</w:t>
      </w:r>
    </w:p>
    <w:p>
      <w:pPr>
        <w:ind w:firstLine="640" w:firstLineChars="200"/>
        <w:rPr>
          <w:rFonts w:ascii="仿宋_GB2312" w:eastAsia="仿宋_GB2312"/>
          <w:sz w:val="32"/>
          <w:szCs w:val="32"/>
        </w:rPr>
      </w:pPr>
      <w:r>
        <w:rPr>
          <w:rFonts w:hint="eastAsia" w:ascii="仿宋_GB2312" w:eastAsia="仿宋_GB2312"/>
          <w:sz w:val="32"/>
          <w:szCs w:val="32"/>
        </w:rPr>
        <w:t>2019年期末，部门开支财政拨款的公务用车保有量为1辆。</w:t>
      </w:r>
    </w:p>
    <w:p>
      <w:pPr>
        <w:ind w:firstLine="643" w:firstLineChars="200"/>
        <w:rPr>
          <w:rFonts w:ascii="仿宋_GB2312" w:eastAsia="仿宋_GB2312"/>
          <w:sz w:val="32"/>
          <w:szCs w:val="32"/>
        </w:rPr>
      </w:pPr>
      <w:r>
        <w:rPr>
          <w:rFonts w:hint="eastAsia" w:ascii="仿宋_GB2312" w:eastAsia="仿宋_GB2312"/>
          <w:b/>
          <w:bCs/>
          <w:sz w:val="32"/>
          <w:szCs w:val="32"/>
        </w:rPr>
        <w:t>3.公务接待费</w:t>
      </w:r>
      <w:r>
        <w:rPr>
          <w:rFonts w:hint="eastAsia" w:ascii="仿宋_GB2312" w:eastAsia="仿宋_GB2312"/>
          <w:sz w:val="32"/>
          <w:szCs w:val="32"/>
        </w:rPr>
        <w:t>年初预算为5万元，支出决算为0.37万元，完成年初预算的7</w:t>
      </w:r>
      <w:r>
        <w:rPr>
          <w:rFonts w:hint="eastAsia" w:ascii="仿宋_GB2312" w:eastAsia="仿宋_GB2312"/>
          <w:sz w:val="32"/>
          <w:szCs w:val="32"/>
          <w:lang w:val="en-US" w:eastAsia="zh-CN"/>
        </w:rPr>
        <w:t>.</w:t>
      </w:r>
      <w:r>
        <w:rPr>
          <w:rFonts w:hint="eastAsia" w:ascii="仿宋_GB2312" w:eastAsia="仿宋_GB2312"/>
          <w:sz w:val="32"/>
          <w:szCs w:val="32"/>
        </w:rPr>
        <w:t>4%。决算数与年初预算数存在差异的主要原因是公务接待次数同上年减少。其中：</w:t>
      </w:r>
    </w:p>
    <w:p>
      <w:pPr>
        <w:ind w:firstLine="640"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外宾接待支出0万元。2019年共接待国（境）外来访团组0个。</w:t>
      </w:r>
    </w:p>
    <w:p>
      <w:pPr>
        <w:ind w:firstLine="640" w:firstLineChars="200"/>
        <w:rPr>
          <w:rFonts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 xml:space="preserve">2 </w:t>
      </w:r>
      <w:r>
        <w:rPr>
          <w:rFonts w:hint="eastAsia" w:ascii="仿宋_GB2312" w:eastAsia="仿宋_GB2312"/>
          <w:sz w:val="32"/>
          <w:szCs w:val="32"/>
          <w:lang w:eastAsia="zh-CN"/>
        </w:rPr>
        <w:t>）</w:t>
      </w:r>
      <w:r>
        <w:rPr>
          <w:rFonts w:hint="eastAsia" w:ascii="仿宋_GB2312" w:eastAsia="仿宋_GB2312"/>
          <w:sz w:val="32"/>
          <w:szCs w:val="32"/>
        </w:rPr>
        <w:t>其他国内公务接待支出0.37万元。主要用于党政办日常公务事务接待。2019年共接待国内来访团组10个、来宾110人次（不包括陪同人员）。</w:t>
      </w:r>
    </w:p>
    <w:p>
      <w:pPr>
        <w:ind w:firstLine="640" w:firstLineChars="200"/>
        <w:rPr>
          <w:rFonts w:ascii="黑体" w:hAnsi="黑体" w:eastAsia="黑体"/>
          <w:sz w:val="32"/>
          <w:szCs w:val="32"/>
        </w:rPr>
      </w:pPr>
      <w:r>
        <w:rPr>
          <w:rFonts w:hint="eastAsia" w:ascii="黑体" w:hAnsi="黑体" w:eastAsia="黑体"/>
          <w:sz w:val="32"/>
          <w:szCs w:val="32"/>
        </w:rPr>
        <w:t>八、预算绩效情况说明</w:t>
      </w:r>
    </w:p>
    <w:p>
      <w:pPr>
        <w:ind w:firstLine="640" w:firstLineChars="200"/>
        <w:rPr>
          <w:rFonts w:ascii="仿宋_GB2312" w:eastAsia="仿宋_GB2312"/>
          <w:sz w:val="32"/>
          <w:szCs w:val="32"/>
        </w:rPr>
      </w:pPr>
      <w:r>
        <w:rPr>
          <w:rFonts w:hint="eastAsia" w:ascii="仿宋_GB2312" w:eastAsia="仿宋_GB2312"/>
          <w:sz w:val="32"/>
          <w:szCs w:val="32"/>
        </w:rPr>
        <w:t>（一）绩效管理工作开展情况。</w:t>
      </w:r>
    </w:p>
    <w:p>
      <w:pPr>
        <w:ind w:firstLine="640" w:firstLineChars="20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9</w:t>
      </w:r>
      <w:r>
        <w:rPr>
          <w:rFonts w:hint="eastAsia" w:ascii="仿宋_GB2312" w:eastAsia="仿宋_GB2312"/>
          <w:sz w:val="32"/>
          <w:szCs w:val="32"/>
        </w:rPr>
        <w:t>年一般公共预算安排项目共计</w:t>
      </w:r>
      <w:r>
        <w:rPr>
          <w:rFonts w:hint="eastAsia" w:ascii="仿宋_GB2312" w:eastAsia="仿宋_GB2312"/>
          <w:sz w:val="32"/>
          <w:szCs w:val="32"/>
          <w:lang w:val="en-US" w:eastAsia="zh-CN"/>
        </w:rPr>
        <w:t>7</w:t>
      </w:r>
      <w:r>
        <w:rPr>
          <w:rFonts w:hint="eastAsia" w:ascii="仿宋_GB2312" w:eastAsia="仿宋_GB2312"/>
          <w:sz w:val="32"/>
          <w:szCs w:val="32"/>
        </w:rPr>
        <w:t>个，合计金额1540.64万元。按照年初预算，各项目资金能够确保顺利到位，根据支出计划按进度支付，提高资金利用率，取得良好的工作效应。预算管理方面需进一步加强，做好事前评估、事中审查、事后监督，进一步增强支出责任和效率意识，提高绩效目标完成率。</w:t>
      </w:r>
    </w:p>
    <w:p>
      <w:pPr>
        <w:ind w:firstLine="640" w:firstLineChars="200"/>
        <w:rPr>
          <w:rFonts w:ascii="仿宋_GB2312" w:eastAsia="仿宋_GB2312"/>
          <w:sz w:val="32"/>
          <w:szCs w:val="32"/>
        </w:rPr>
      </w:pPr>
      <w:r>
        <w:rPr>
          <w:rFonts w:hint="eastAsia" w:ascii="仿宋_GB2312" w:eastAsia="仿宋_GB2312"/>
          <w:sz w:val="32"/>
          <w:szCs w:val="32"/>
        </w:rPr>
        <w:t>（二）</w:t>
      </w:r>
      <w:r>
        <w:rPr>
          <w:rFonts w:hint="eastAsia" w:ascii="仿宋_GB2312" w:eastAsia="仿宋_GB2312"/>
          <w:sz w:val="32"/>
          <w:szCs w:val="32"/>
          <w:lang w:eastAsia="zh-CN"/>
        </w:rPr>
        <w:t>绩效目标设置情况说明</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党政办按时完成市级、区级各项目标任务。</w:t>
      </w:r>
    </w:p>
    <w:p>
      <w:pPr>
        <w:ind w:firstLine="640" w:firstLineChars="200"/>
        <w:rPr>
          <w:rFonts w:ascii="仿宋_GB2312" w:eastAsia="仿宋_GB2312"/>
          <w:sz w:val="32"/>
          <w:szCs w:val="32"/>
        </w:rPr>
      </w:pPr>
      <w:r>
        <w:rPr>
          <w:rFonts w:hint="eastAsia" w:ascii="仿宋_GB2312" w:eastAsia="仿宋_GB2312"/>
          <w:sz w:val="32"/>
          <w:szCs w:val="32"/>
        </w:rPr>
        <w:t>（三）以部门为主体开展的重点绩效评价结果。</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本年度预算绩效目标完成度较好，预算执行率</w:t>
      </w:r>
      <w:r>
        <w:rPr>
          <w:rFonts w:hint="eastAsia" w:ascii="东文宋体" w:hAnsi="东文宋体" w:eastAsia="东文宋体" w:cs="东文宋体"/>
          <w:sz w:val="32"/>
          <w:szCs w:val="32"/>
          <w:lang w:eastAsia="zh-CN"/>
        </w:rPr>
        <w:t>≥</w:t>
      </w:r>
      <w:r>
        <w:rPr>
          <w:rFonts w:hint="eastAsia" w:ascii="仿宋_GB2312" w:eastAsia="仿宋_GB2312"/>
          <w:sz w:val="32"/>
          <w:szCs w:val="32"/>
          <w:lang w:val="en-US" w:eastAsia="zh-CN"/>
        </w:rPr>
        <w:t>90%，预算调整率</w:t>
      </w:r>
      <w:r>
        <w:rPr>
          <w:rFonts w:hint="eastAsia" w:ascii="东文宋体" w:hAnsi="东文宋体" w:eastAsia="东文宋体" w:cs="东文宋体"/>
          <w:sz w:val="32"/>
          <w:szCs w:val="32"/>
          <w:lang w:val="en-US" w:eastAsia="zh-CN"/>
        </w:rPr>
        <w:t>≤</w:t>
      </w:r>
      <w:r>
        <w:rPr>
          <w:rFonts w:hint="eastAsia" w:ascii="仿宋_GB2312" w:eastAsia="仿宋_GB2312"/>
          <w:sz w:val="32"/>
          <w:szCs w:val="32"/>
          <w:lang w:val="en-US" w:eastAsia="zh-CN"/>
        </w:rPr>
        <w:t>10%，“三公经费”控制率</w:t>
      </w:r>
      <w:r>
        <w:rPr>
          <w:rFonts w:hint="eastAsia" w:ascii="东文宋体" w:hAnsi="东文宋体" w:eastAsia="东文宋体" w:cs="东文宋体"/>
          <w:sz w:val="32"/>
          <w:szCs w:val="32"/>
          <w:lang w:eastAsia="zh-CN"/>
        </w:rPr>
        <w:t>≥</w:t>
      </w:r>
      <w:r>
        <w:rPr>
          <w:rFonts w:hint="eastAsia" w:ascii="仿宋_GB2312" w:eastAsia="仿宋_GB2312"/>
          <w:sz w:val="32"/>
          <w:szCs w:val="32"/>
          <w:lang w:val="en-US" w:eastAsia="zh-CN"/>
        </w:rPr>
        <w:t>90%，政府采购执行率</w:t>
      </w:r>
      <w:r>
        <w:rPr>
          <w:rFonts w:hint="eastAsia" w:ascii="东文宋体" w:hAnsi="东文宋体" w:eastAsia="东文宋体" w:cs="东文宋体"/>
          <w:sz w:val="32"/>
          <w:szCs w:val="32"/>
          <w:lang w:eastAsia="zh-CN"/>
        </w:rPr>
        <w:t>≥</w:t>
      </w:r>
      <w:r>
        <w:rPr>
          <w:rFonts w:hint="eastAsia" w:ascii="仿宋_GB2312" w:eastAsia="仿宋_GB2312"/>
          <w:sz w:val="32"/>
          <w:szCs w:val="32"/>
          <w:lang w:val="en-US" w:eastAsia="zh-CN"/>
        </w:rPr>
        <w:t>95%，资金使用合规，管理制度健全。随着预算项目的实施，对内提高了业务人员的工作能力，对外扩大了我区经济发展的影响力，推动全面发展。</w:t>
      </w:r>
    </w:p>
    <w:p>
      <w:pPr>
        <w:ind w:firstLine="640" w:firstLineChars="200"/>
        <w:rPr>
          <w:rFonts w:ascii="黑体" w:hAnsi="黑体" w:eastAsia="黑体"/>
          <w:sz w:val="32"/>
          <w:szCs w:val="32"/>
        </w:rPr>
      </w:pPr>
      <w:r>
        <w:rPr>
          <w:rFonts w:hint="eastAsia" w:ascii="黑体" w:hAnsi="黑体" w:eastAsia="黑体"/>
          <w:sz w:val="32"/>
          <w:szCs w:val="32"/>
        </w:rPr>
        <w:t>九、政府性基金预算财政拨款支出决算情况说明</w:t>
      </w:r>
    </w:p>
    <w:p>
      <w:pPr>
        <w:ind w:firstLine="640" w:firstLineChars="200"/>
        <w:rPr>
          <w:rFonts w:ascii="仿宋_GB2312" w:eastAsia="仿宋_GB2312"/>
          <w:sz w:val="32"/>
          <w:szCs w:val="32"/>
        </w:rPr>
      </w:pPr>
      <w:r>
        <w:rPr>
          <w:rFonts w:hint="eastAsia" w:ascii="仿宋_GB2312" w:eastAsia="仿宋_GB2312"/>
          <w:sz w:val="32"/>
          <w:szCs w:val="32"/>
        </w:rPr>
        <w:t>2019年度政府性基金预算财政拨款支出年初预算为0万元，支出决算为0万元。</w:t>
      </w:r>
    </w:p>
    <w:p>
      <w:pPr>
        <w:ind w:firstLine="640" w:firstLineChars="200"/>
        <w:rPr>
          <w:rFonts w:ascii="黑体" w:hAnsi="黑体" w:eastAsia="黑体"/>
          <w:sz w:val="32"/>
          <w:szCs w:val="32"/>
        </w:rPr>
      </w:pPr>
      <w:r>
        <w:rPr>
          <w:rFonts w:hint="eastAsia" w:ascii="黑体" w:hAnsi="黑体" w:eastAsia="黑体"/>
          <w:sz w:val="32"/>
          <w:szCs w:val="32"/>
        </w:rPr>
        <w:t>十、机关运行经费支出情况说明</w:t>
      </w:r>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rPr>
        <w:t>2019年度机关运行经费年初预算为41.95万元，支出决算为61.07万元，完成年初预算的</w:t>
      </w:r>
      <w:r>
        <w:rPr>
          <w:rFonts w:ascii="仿宋_GB2312" w:eastAsia="仿宋_GB2312"/>
          <w:sz w:val="32"/>
          <w:szCs w:val="32"/>
        </w:rPr>
        <w:t>146</w:t>
      </w:r>
      <w:r>
        <w:rPr>
          <w:rFonts w:hint="eastAsia" w:ascii="仿宋_GB2312" w:eastAsia="仿宋_GB2312"/>
          <w:sz w:val="32"/>
          <w:szCs w:val="32"/>
        </w:rPr>
        <w:t>%。决算数与年初预算数存在差异的主要原因是组织大型外出考察活动费用增长。</w:t>
      </w:r>
      <w:r>
        <w:rPr>
          <w:rFonts w:hint="eastAsia" w:ascii="仿宋_GB2312" w:eastAsia="仿宋_GB2312"/>
          <w:sz w:val="32"/>
          <w:szCs w:val="32"/>
          <w:lang w:eastAsia="zh-CN"/>
        </w:rPr>
        <w:t>与</w:t>
      </w:r>
      <w:r>
        <w:rPr>
          <w:rFonts w:hint="eastAsia" w:ascii="仿宋_GB2312" w:eastAsia="仿宋_GB2312"/>
          <w:sz w:val="32"/>
          <w:szCs w:val="32"/>
          <w:lang w:val="en-US" w:eastAsia="zh-CN"/>
        </w:rPr>
        <w:t>18年支出决算相比增加了</w:t>
      </w:r>
    </w:p>
    <w:p>
      <w:pPr>
        <w:ind w:firstLine="640" w:firstLineChars="200"/>
        <w:rPr>
          <w:rFonts w:ascii="黑体" w:hAnsi="黑体" w:eastAsia="黑体"/>
          <w:sz w:val="32"/>
          <w:szCs w:val="32"/>
        </w:rPr>
      </w:pPr>
      <w:r>
        <w:rPr>
          <w:rFonts w:hint="eastAsia" w:ascii="黑体" w:hAnsi="黑体" w:eastAsia="黑体"/>
          <w:sz w:val="32"/>
          <w:szCs w:val="32"/>
        </w:rPr>
        <w:t>十一、政府采购支出情况说明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2019年度政府采购支出总额11.7万元，其中：政府采购货物支出11.7万元</w:t>
      </w:r>
      <w:bookmarkStart w:id="1" w:name="_GoBack"/>
      <w:bookmarkEnd w:id="1"/>
      <w:r>
        <w:rPr>
          <w:rFonts w:hint="eastAsia" w:ascii="仿宋_GB2312" w:hAnsi="仿宋_GB2312" w:eastAsia="仿宋_GB2312" w:cs="仿宋_GB2312"/>
          <w:sz w:val="32"/>
          <w:szCs w:val="32"/>
        </w:rPr>
        <w:t>、政府采购工程支出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十二、国有资产占用情况说明</w:t>
      </w:r>
    </w:p>
    <w:p>
      <w:pPr>
        <w:ind w:firstLine="640" w:firstLineChars="200"/>
        <w:rPr>
          <w:rFonts w:hint="eastAsia" w:ascii="仿宋_GB2312" w:hAnsi="仿宋_GB2312" w:eastAsia="仿宋_GB2312" w:cs="仿宋_GB2312"/>
          <w:sz w:val="32"/>
          <w:szCs w:val="32"/>
          <w:lang w:eastAsia="zh-CN"/>
        </w:rPr>
      </w:pPr>
      <w:r>
        <w:rPr>
          <w:rFonts w:hint="eastAsia" w:ascii="仿宋_GB2312" w:eastAsia="仿宋_GB2312"/>
          <w:sz w:val="32"/>
          <w:szCs w:val="32"/>
        </w:rPr>
        <w:t>2019年期末，我部门共有车辆1辆，其中：</w:t>
      </w:r>
      <w:r>
        <w:rPr>
          <w:rFonts w:hint="eastAsia" w:ascii="仿宋_GB2312" w:hAnsi="仿宋_GB2312" w:eastAsia="仿宋_GB2312" w:cs="仿宋_GB2312"/>
          <w:sz w:val="32"/>
          <w:szCs w:val="32"/>
        </w:rPr>
        <w:t>省级领导干部用车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辆、主要领导干部用车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eastAsia="仿宋_GB2312"/>
          <w:sz w:val="32"/>
          <w:szCs w:val="32"/>
        </w:rPr>
        <w:t>机要通信用车1辆</w:t>
      </w:r>
      <w:r>
        <w:rPr>
          <w:rFonts w:hint="eastAsia" w:ascii="仿宋_GB2312" w:eastAsia="仿宋_GB2312"/>
          <w:sz w:val="32"/>
          <w:szCs w:val="32"/>
          <w:lang w:eastAsia="zh-CN"/>
        </w:rPr>
        <w:t>、</w:t>
      </w:r>
      <w:r>
        <w:rPr>
          <w:rFonts w:hint="eastAsia" w:ascii="仿宋_GB2312" w:hAnsi="仿宋_GB2312" w:eastAsia="仿宋_GB2312" w:cs="仿宋_GB2312"/>
          <w:sz w:val="32"/>
          <w:szCs w:val="32"/>
        </w:rPr>
        <w:t>应急保障车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辆、执法执勤用车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辆、特种专业技术用车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辆、离退休干部用车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辆、其他用车</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辆；单位价值50万元以上通用设备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台（套），单位价值100万元以上专用设备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我办无专项转移支付项目。</w:t>
      </w:r>
    </w:p>
    <w:p>
      <w:pPr>
        <w:widowControl/>
        <w:jc w:val="left"/>
        <w:rPr>
          <w:rFonts w:hint="eastAsia" w:ascii="楷体_GB2312" w:hAnsi="楷体_GB2312" w:eastAsia="楷体_GB2312" w:cs="楷体_GB2312"/>
          <w:sz w:val="32"/>
          <w:szCs w:val="32"/>
          <w:lang w:eastAsia="zh-CN"/>
        </w:rPr>
        <w:sectPr>
          <w:pgSz w:w="11906" w:h="16838"/>
          <w:pgMar w:top="1440" w:right="1800" w:bottom="1440" w:left="1800" w:header="720" w:footer="720" w:gutter="0"/>
          <w:pgNumType w:fmt="numberInDash"/>
          <w:cols w:space="720" w:num="1"/>
          <w:docGrid w:type="lines" w:linePitch="312" w:charSpace="0"/>
        </w:sect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widowControl/>
        <w:jc w:val="left"/>
        <w:rPr>
          <w:rFonts w:hint="eastAsia" w:ascii="黑体" w:hAnsi="宋体" w:eastAsia="黑体" w:cs="宋体"/>
          <w:kern w:val="0"/>
          <w:sz w:val="28"/>
          <w:szCs w:val="28"/>
        </w:rPr>
      </w:pPr>
    </w:p>
    <w:p>
      <w:pPr>
        <w:jc w:val="center"/>
        <w:outlineLvl w:val="0"/>
        <w:rPr>
          <w:rFonts w:hint="eastAsia" w:ascii="黑体" w:hAnsi="黑体" w:eastAsia="黑体" w:cs="黑体"/>
          <w:sz w:val="48"/>
          <w:szCs w:val="48"/>
        </w:rPr>
      </w:pPr>
      <w:r>
        <w:rPr>
          <w:rFonts w:hint="eastAsia" w:ascii="黑体" w:hAnsi="黑体" w:eastAsia="黑体" w:cs="黑体"/>
          <w:sz w:val="48"/>
          <w:szCs w:val="48"/>
        </w:rPr>
        <w:t>第四部分  名词解释</w:t>
      </w:r>
    </w:p>
    <w:p>
      <w:pPr>
        <w:jc w:val="center"/>
        <w:rPr>
          <w:rFonts w:hint="eastAsia" w:ascii="黑体" w:hAnsi="黑体" w:eastAsia="黑体" w:cs="黑体"/>
          <w:sz w:val="48"/>
          <w:szCs w:val="48"/>
        </w:rPr>
      </w:pPr>
    </w:p>
    <w:p>
      <w:pPr>
        <w:jc w:val="center"/>
        <w:outlineLvl w:val="0"/>
        <w:rPr>
          <w:rFonts w:hint="eastAsia"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东文宋体">
    <w:altName w:val="宋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20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- 3 -</w:t>
                          </w:r>
                          <w:r>
                            <w:rPr>
                              <w:rFonts w:hint="eastAsia"/>
                              <w:sz w:val="18"/>
                            </w:rPr>
                            <w:fldChar w:fldCharType="end"/>
                          </w:r>
                        </w:p>
                      </w:txbxContent>
                    </wps:txbx>
                    <wps:bodyPr wrap="none" lIns="0" tIns="0" rIns="0" bIns="0" upright="0">
                      <a:spAutoFit/>
                    </wps:bodyPr>
                  </wps:wsp>
                </a:graphicData>
              </a:graphic>
            </wp:anchor>
          </w:drawing>
        </mc:Choice>
        <mc:Fallback>
          <w:pict>
            <v:shape id="文本框 205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zF10FLgBAABYAwAADgAAAAAAAAABACAAAAAeAQAAZHJzL2Uyb0RvYy54bWxQSwUGAAAAAAYABgBZ&#10;AQAASAU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- 3 -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rPr>
                          </w:pP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Xc9tB7gBAABXAwAADgAAAAAAAAABACAAAAAeAQAAZHJzL2Uyb0RvYy54bWxQSwUGAAAAAAYABgBZ&#10;AQAASAU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20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wps:txbx>
                    <wps:bodyPr wrap="none" lIns="0" tIns="0" rIns="0" bIns="0" upright="0">
                      <a:spAutoFit/>
                    </wps:bodyPr>
                  </wps:wsp>
                </a:graphicData>
              </a:graphic>
            </wp:anchor>
          </w:drawing>
        </mc:Choice>
        <mc:Fallback>
          <w:pict>
            <v:shape id="文本框 2055"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lE8SDugEAAFgDAAAOAAAAAAAAAAEAIAAAAB4BAABkcnMvZTJvRG9jLnhtbFBLBQYAAAAABgAG&#10;AFkBAABK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70E8"/>
    <w:rsid w:val="00057AFD"/>
    <w:rsid w:val="00076410"/>
    <w:rsid w:val="000C073B"/>
    <w:rsid w:val="001003F8"/>
    <w:rsid w:val="00144159"/>
    <w:rsid w:val="001718A8"/>
    <w:rsid w:val="00182842"/>
    <w:rsid w:val="001905F2"/>
    <w:rsid w:val="001B40D7"/>
    <w:rsid w:val="001D61B1"/>
    <w:rsid w:val="001F5040"/>
    <w:rsid w:val="002006EB"/>
    <w:rsid w:val="00252D58"/>
    <w:rsid w:val="00260D70"/>
    <w:rsid w:val="00282C7F"/>
    <w:rsid w:val="00287811"/>
    <w:rsid w:val="002B3F94"/>
    <w:rsid w:val="002D392B"/>
    <w:rsid w:val="002E6A86"/>
    <w:rsid w:val="00304D04"/>
    <w:rsid w:val="00305B88"/>
    <w:rsid w:val="00315FEB"/>
    <w:rsid w:val="0042585F"/>
    <w:rsid w:val="00445CAC"/>
    <w:rsid w:val="00472E19"/>
    <w:rsid w:val="00487869"/>
    <w:rsid w:val="004D5275"/>
    <w:rsid w:val="00507364"/>
    <w:rsid w:val="00546F7C"/>
    <w:rsid w:val="00577392"/>
    <w:rsid w:val="005A0C2F"/>
    <w:rsid w:val="005B1AE2"/>
    <w:rsid w:val="006011C3"/>
    <w:rsid w:val="006228C4"/>
    <w:rsid w:val="006512DD"/>
    <w:rsid w:val="00656BEF"/>
    <w:rsid w:val="00656D75"/>
    <w:rsid w:val="00657E86"/>
    <w:rsid w:val="0066433F"/>
    <w:rsid w:val="00673EF7"/>
    <w:rsid w:val="0069449E"/>
    <w:rsid w:val="006C07F0"/>
    <w:rsid w:val="006C644A"/>
    <w:rsid w:val="006C7D84"/>
    <w:rsid w:val="007148E8"/>
    <w:rsid w:val="00733DAA"/>
    <w:rsid w:val="00742BA0"/>
    <w:rsid w:val="00746532"/>
    <w:rsid w:val="00753545"/>
    <w:rsid w:val="00764156"/>
    <w:rsid w:val="007706D7"/>
    <w:rsid w:val="007879ED"/>
    <w:rsid w:val="007A48A3"/>
    <w:rsid w:val="007C029F"/>
    <w:rsid w:val="007C7F49"/>
    <w:rsid w:val="007D2A21"/>
    <w:rsid w:val="00843461"/>
    <w:rsid w:val="00872946"/>
    <w:rsid w:val="0088023A"/>
    <w:rsid w:val="008858FB"/>
    <w:rsid w:val="00894B41"/>
    <w:rsid w:val="008B5427"/>
    <w:rsid w:val="008C4E37"/>
    <w:rsid w:val="00903F6B"/>
    <w:rsid w:val="009173F9"/>
    <w:rsid w:val="00975A04"/>
    <w:rsid w:val="009F546E"/>
    <w:rsid w:val="00A079F0"/>
    <w:rsid w:val="00A57BF7"/>
    <w:rsid w:val="00A83D8A"/>
    <w:rsid w:val="00A93E7D"/>
    <w:rsid w:val="00AA260E"/>
    <w:rsid w:val="00AA44CB"/>
    <w:rsid w:val="00AA67CD"/>
    <w:rsid w:val="00AD6761"/>
    <w:rsid w:val="00AE600E"/>
    <w:rsid w:val="00B0083B"/>
    <w:rsid w:val="00B209B8"/>
    <w:rsid w:val="00B249F3"/>
    <w:rsid w:val="00B347B3"/>
    <w:rsid w:val="00B710DD"/>
    <w:rsid w:val="00BB767F"/>
    <w:rsid w:val="00BE5A85"/>
    <w:rsid w:val="00BF5718"/>
    <w:rsid w:val="00C2033B"/>
    <w:rsid w:val="00C3106E"/>
    <w:rsid w:val="00C60609"/>
    <w:rsid w:val="00C95CC1"/>
    <w:rsid w:val="00CA3F44"/>
    <w:rsid w:val="00CE212D"/>
    <w:rsid w:val="00CE4B38"/>
    <w:rsid w:val="00D1321A"/>
    <w:rsid w:val="00D30ADF"/>
    <w:rsid w:val="00D6315E"/>
    <w:rsid w:val="00D652C2"/>
    <w:rsid w:val="00D74EE2"/>
    <w:rsid w:val="00D752B3"/>
    <w:rsid w:val="00D83E19"/>
    <w:rsid w:val="00DA00C9"/>
    <w:rsid w:val="00DB200E"/>
    <w:rsid w:val="00DB65F5"/>
    <w:rsid w:val="00DE25B7"/>
    <w:rsid w:val="00DF1AE8"/>
    <w:rsid w:val="00E01C3E"/>
    <w:rsid w:val="00E13099"/>
    <w:rsid w:val="00E4284E"/>
    <w:rsid w:val="00E4339F"/>
    <w:rsid w:val="00E629EA"/>
    <w:rsid w:val="00E6777C"/>
    <w:rsid w:val="00E878DB"/>
    <w:rsid w:val="00EB05A3"/>
    <w:rsid w:val="00ED38B7"/>
    <w:rsid w:val="00EE051D"/>
    <w:rsid w:val="00EE78DD"/>
    <w:rsid w:val="00F0131A"/>
    <w:rsid w:val="00F04C29"/>
    <w:rsid w:val="00F10A08"/>
    <w:rsid w:val="00F14C17"/>
    <w:rsid w:val="00F17041"/>
    <w:rsid w:val="00F44937"/>
    <w:rsid w:val="00F61A47"/>
    <w:rsid w:val="00F84422"/>
    <w:rsid w:val="00F95455"/>
    <w:rsid w:val="00FA574D"/>
    <w:rsid w:val="00FE7AD9"/>
    <w:rsid w:val="01322275"/>
    <w:rsid w:val="019B717E"/>
    <w:rsid w:val="01DC6F05"/>
    <w:rsid w:val="02A3489A"/>
    <w:rsid w:val="02CA138D"/>
    <w:rsid w:val="02E238C3"/>
    <w:rsid w:val="033646FC"/>
    <w:rsid w:val="03C75F80"/>
    <w:rsid w:val="0478364D"/>
    <w:rsid w:val="04AF4BA4"/>
    <w:rsid w:val="050E70CD"/>
    <w:rsid w:val="053D4C0D"/>
    <w:rsid w:val="0557532E"/>
    <w:rsid w:val="0799329C"/>
    <w:rsid w:val="086F16A7"/>
    <w:rsid w:val="090828CB"/>
    <w:rsid w:val="0A0F7225"/>
    <w:rsid w:val="0A2B7D82"/>
    <w:rsid w:val="0ADC40E9"/>
    <w:rsid w:val="0AE607F4"/>
    <w:rsid w:val="0B451598"/>
    <w:rsid w:val="0BEC73F4"/>
    <w:rsid w:val="0C392698"/>
    <w:rsid w:val="0D224EC2"/>
    <w:rsid w:val="106E40B2"/>
    <w:rsid w:val="10BD36F6"/>
    <w:rsid w:val="11BF0649"/>
    <w:rsid w:val="123E3E08"/>
    <w:rsid w:val="12F66B4A"/>
    <w:rsid w:val="161C2DFF"/>
    <w:rsid w:val="16373578"/>
    <w:rsid w:val="16D3336B"/>
    <w:rsid w:val="17806C36"/>
    <w:rsid w:val="17A74F62"/>
    <w:rsid w:val="18560807"/>
    <w:rsid w:val="18A47774"/>
    <w:rsid w:val="19352BDA"/>
    <w:rsid w:val="19C13DCF"/>
    <w:rsid w:val="1B2E6FD8"/>
    <w:rsid w:val="1B877D21"/>
    <w:rsid w:val="1BE77F18"/>
    <w:rsid w:val="1C4319A9"/>
    <w:rsid w:val="1E4D68A4"/>
    <w:rsid w:val="1E994F4A"/>
    <w:rsid w:val="1EAF0224"/>
    <w:rsid w:val="1ED74E3A"/>
    <w:rsid w:val="1EF7CB71"/>
    <w:rsid w:val="1F2230A4"/>
    <w:rsid w:val="1FFD598B"/>
    <w:rsid w:val="20210932"/>
    <w:rsid w:val="202448E0"/>
    <w:rsid w:val="20BE3E6B"/>
    <w:rsid w:val="21302EEA"/>
    <w:rsid w:val="22376FB5"/>
    <w:rsid w:val="23E152D7"/>
    <w:rsid w:val="255D43C8"/>
    <w:rsid w:val="25FD0CE5"/>
    <w:rsid w:val="26876BDD"/>
    <w:rsid w:val="2714632A"/>
    <w:rsid w:val="276F60D5"/>
    <w:rsid w:val="27B0539E"/>
    <w:rsid w:val="29365CF8"/>
    <w:rsid w:val="29397105"/>
    <w:rsid w:val="299469B3"/>
    <w:rsid w:val="29BE69C3"/>
    <w:rsid w:val="2A805789"/>
    <w:rsid w:val="2B4A0E52"/>
    <w:rsid w:val="2B9E7554"/>
    <w:rsid w:val="2C975890"/>
    <w:rsid w:val="2D7C025E"/>
    <w:rsid w:val="2DEF21BB"/>
    <w:rsid w:val="2E4A2F05"/>
    <w:rsid w:val="2ECC1061"/>
    <w:rsid w:val="2FA476AD"/>
    <w:rsid w:val="303F7540"/>
    <w:rsid w:val="31DD00BF"/>
    <w:rsid w:val="328B2FA1"/>
    <w:rsid w:val="3293174C"/>
    <w:rsid w:val="32936002"/>
    <w:rsid w:val="32BB38D4"/>
    <w:rsid w:val="32C9376D"/>
    <w:rsid w:val="33780472"/>
    <w:rsid w:val="33933F43"/>
    <w:rsid w:val="33AF0905"/>
    <w:rsid w:val="34EB6088"/>
    <w:rsid w:val="355932F4"/>
    <w:rsid w:val="35611882"/>
    <w:rsid w:val="35D433EF"/>
    <w:rsid w:val="35EB0033"/>
    <w:rsid w:val="36746FC3"/>
    <w:rsid w:val="368763AE"/>
    <w:rsid w:val="37472E3B"/>
    <w:rsid w:val="395D59E7"/>
    <w:rsid w:val="39A93932"/>
    <w:rsid w:val="3A915562"/>
    <w:rsid w:val="3B7265A0"/>
    <w:rsid w:val="3B8D4765"/>
    <w:rsid w:val="3C000DBA"/>
    <w:rsid w:val="3CFF397C"/>
    <w:rsid w:val="3DC045D3"/>
    <w:rsid w:val="3E504FFB"/>
    <w:rsid w:val="3E615CD0"/>
    <w:rsid w:val="3E9C47F6"/>
    <w:rsid w:val="3FAB3095"/>
    <w:rsid w:val="3FE45947"/>
    <w:rsid w:val="40EDAA4B"/>
    <w:rsid w:val="412253A8"/>
    <w:rsid w:val="41242965"/>
    <w:rsid w:val="42A8074C"/>
    <w:rsid w:val="42D4120D"/>
    <w:rsid w:val="435671EA"/>
    <w:rsid w:val="440809E9"/>
    <w:rsid w:val="442407A6"/>
    <w:rsid w:val="44805EA1"/>
    <w:rsid w:val="451A1CB3"/>
    <w:rsid w:val="45710696"/>
    <w:rsid w:val="46142B1B"/>
    <w:rsid w:val="46C14AA3"/>
    <w:rsid w:val="47E60DD0"/>
    <w:rsid w:val="481C151D"/>
    <w:rsid w:val="482A1360"/>
    <w:rsid w:val="48735039"/>
    <w:rsid w:val="492C684B"/>
    <w:rsid w:val="49500594"/>
    <w:rsid w:val="49E7604E"/>
    <w:rsid w:val="4BF67CDD"/>
    <w:rsid w:val="4D603DD6"/>
    <w:rsid w:val="4EBF010F"/>
    <w:rsid w:val="4EF95324"/>
    <w:rsid w:val="4F471EB0"/>
    <w:rsid w:val="4FC976C6"/>
    <w:rsid w:val="4FFB8987"/>
    <w:rsid w:val="502440EA"/>
    <w:rsid w:val="51015B9F"/>
    <w:rsid w:val="51331326"/>
    <w:rsid w:val="51740A7F"/>
    <w:rsid w:val="51A5541E"/>
    <w:rsid w:val="51C96242"/>
    <w:rsid w:val="537F55D7"/>
    <w:rsid w:val="54341889"/>
    <w:rsid w:val="54F46F60"/>
    <w:rsid w:val="55A37BEA"/>
    <w:rsid w:val="567BEF40"/>
    <w:rsid w:val="5784687B"/>
    <w:rsid w:val="57846959"/>
    <w:rsid w:val="578E6A87"/>
    <w:rsid w:val="58907098"/>
    <w:rsid w:val="5A5738FA"/>
    <w:rsid w:val="5AC2203A"/>
    <w:rsid w:val="5BC9536D"/>
    <w:rsid w:val="5BED4910"/>
    <w:rsid w:val="5CBB3334"/>
    <w:rsid w:val="5CF753F0"/>
    <w:rsid w:val="5D115FAF"/>
    <w:rsid w:val="5DBD331E"/>
    <w:rsid w:val="5EFFA899"/>
    <w:rsid w:val="5F6B4914"/>
    <w:rsid w:val="5FF91879"/>
    <w:rsid w:val="60A30534"/>
    <w:rsid w:val="62732505"/>
    <w:rsid w:val="62811722"/>
    <w:rsid w:val="62E75A72"/>
    <w:rsid w:val="63DC186C"/>
    <w:rsid w:val="63F7026C"/>
    <w:rsid w:val="64571880"/>
    <w:rsid w:val="649125B6"/>
    <w:rsid w:val="652F4C1A"/>
    <w:rsid w:val="666D37F1"/>
    <w:rsid w:val="67087D8F"/>
    <w:rsid w:val="671F687E"/>
    <w:rsid w:val="67F415F8"/>
    <w:rsid w:val="684B73E5"/>
    <w:rsid w:val="6A047A2A"/>
    <w:rsid w:val="6AF62D89"/>
    <w:rsid w:val="6D1D2ABE"/>
    <w:rsid w:val="6E8F0034"/>
    <w:rsid w:val="6F3831C3"/>
    <w:rsid w:val="6FFF4404"/>
    <w:rsid w:val="70417DD1"/>
    <w:rsid w:val="70753482"/>
    <w:rsid w:val="707B522A"/>
    <w:rsid w:val="73194D05"/>
    <w:rsid w:val="736175F0"/>
    <w:rsid w:val="73A83B0E"/>
    <w:rsid w:val="73BD895A"/>
    <w:rsid w:val="744D3EF9"/>
    <w:rsid w:val="746B1224"/>
    <w:rsid w:val="74794411"/>
    <w:rsid w:val="75867C40"/>
    <w:rsid w:val="76432199"/>
    <w:rsid w:val="76F44829"/>
    <w:rsid w:val="76F67123"/>
    <w:rsid w:val="777F5C86"/>
    <w:rsid w:val="77A267C0"/>
    <w:rsid w:val="78205483"/>
    <w:rsid w:val="78882278"/>
    <w:rsid w:val="78B118A6"/>
    <w:rsid w:val="78DE16F4"/>
    <w:rsid w:val="79135044"/>
    <w:rsid w:val="7A644B5B"/>
    <w:rsid w:val="7A7D0F99"/>
    <w:rsid w:val="7AE9A045"/>
    <w:rsid w:val="7B2A08DE"/>
    <w:rsid w:val="7BBB1032"/>
    <w:rsid w:val="7BFF3680"/>
    <w:rsid w:val="7E9D2236"/>
    <w:rsid w:val="7EFD449D"/>
    <w:rsid w:val="7FF54AD0"/>
    <w:rsid w:val="97EE5C9E"/>
    <w:rsid w:val="AFDDFAD7"/>
    <w:rsid w:val="B6B7F713"/>
    <w:rsid w:val="B6E10BA7"/>
    <w:rsid w:val="B79ED95A"/>
    <w:rsid w:val="CFDDFDE6"/>
    <w:rsid w:val="CFDFBD79"/>
    <w:rsid w:val="D79F0184"/>
    <w:rsid w:val="D7A37079"/>
    <w:rsid w:val="DB1F3030"/>
    <w:rsid w:val="DEDF8968"/>
    <w:rsid w:val="DF7C7D0D"/>
    <w:rsid w:val="E35B82B5"/>
    <w:rsid w:val="E9FB9631"/>
    <w:rsid w:val="EFFE5BC8"/>
    <w:rsid w:val="F715D2BC"/>
    <w:rsid w:val="F9FAF8A8"/>
    <w:rsid w:val="FBD639FF"/>
    <w:rsid w:val="FD2B9D8E"/>
    <w:rsid w:val="FD6EC90D"/>
    <w:rsid w:val="FF7FA02A"/>
    <w:rsid w:val="FFD72147"/>
    <w:rsid w:val="FFEF060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unhideWhenUsed/>
    <w:qFormat/>
    <w:uiPriority w:val="1"/>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unhideWhenUsed/>
    <w:qFormat/>
    <w:uiPriority w:val="99"/>
    <w:pPr>
      <w:jc w:val="left"/>
    </w:pPr>
  </w:style>
  <w:style w:type="paragraph" w:styleId="4">
    <w:name w:val="Balloon Text"/>
    <w:basedOn w:val="1"/>
    <w:link w:val="19"/>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unhideWhenUsed/>
    <w:qFormat/>
    <w:uiPriority w:val="99"/>
    <w:pPr>
      <w:snapToGrid w:val="0"/>
      <w:jc w:val="left"/>
    </w:pPr>
    <w:rPr>
      <w:sz w:val="18"/>
    </w:r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styleId="11">
    <w:name w:val="footnote reference"/>
    <w:unhideWhenUsed/>
    <w:qFormat/>
    <w:uiPriority w:val="99"/>
    <w:rPr>
      <w:vertAlign w:val="superscript"/>
    </w:rPr>
  </w:style>
  <w:style w:type="table" w:styleId="13">
    <w:name w:val="Table Grid"/>
    <w:basedOn w:val="1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标题1"/>
    <w:basedOn w:val="2"/>
    <w:qFormat/>
    <w:uiPriority w:val="0"/>
    <w:pPr>
      <w:spacing w:before="0" w:after="0" w:line="240" w:lineRule="auto"/>
      <w:jc w:val="center"/>
    </w:pPr>
    <w:rPr>
      <w:rFonts w:ascii="华文中宋" w:hAnsi="华文中宋" w:eastAsia="华文中宋"/>
      <w:sz w:val="36"/>
      <w:szCs w:val="36"/>
    </w:rPr>
  </w:style>
  <w:style w:type="character" w:customStyle="1" w:styleId="15">
    <w:name w:val="页脚 字符"/>
    <w:link w:val="5"/>
    <w:qFormat/>
    <w:uiPriority w:val="99"/>
    <w:rPr>
      <w:kern w:val="2"/>
      <w:sz w:val="18"/>
      <w:szCs w:val="18"/>
    </w:rPr>
  </w:style>
  <w:style w:type="character" w:customStyle="1" w:styleId="16">
    <w:name w:val="font41"/>
    <w:qFormat/>
    <w:uiPriority w:val="0"/>
    <w:rPr>
      <w:rFonts w:hint="eastAsia" w:ascii="宋体" w:hAnsi="宋体" w:eastAsia="宋体" w:cs="宋体"/>
      <w:color w:val="000000"/>
      <w:sz w:val="24"/>
      <w:szCs w:val="24"/>
      <w:u w:val="none"/>
    </w:rPr>
  </w:style>
  <w:style w:type="character" w:customStyle="1" w:styleId="17">
    <w:name w:val="font21"/>
    <w:qFormat/>
    <w:uiPriority w:val="0"/>
    <w:rPr>
      <w:rFonts w:hint="eastAsia" w:ascii="宋体" w:hAnsi="宋体" w:eastAsia="宋体" w:cs="宋体"/>
      <w:color w:val="000000"/>
      <w:sz w:val="22"/>
      <w:szCs w:val="22"/>
      <w:u w:val="none"/>
    </w:rPr>
  </w:style>
  <w:style w:type="character" w:customStyle="1" w:styleId="18">
    <w:name w:val="页眉 字符"/>
    <w:link w:val="6"/>
    <w:qFormat/>
    <w:uiPriority w:val="99"/>
    <w:rPr>
      <w:kern w:val="2"/>
      <w:sz w:val="18"/>
      <w:szCs w:val="18"/>
    </w:rPr>
  </w:style>
  <w:style w:type="character" w:customStyle="1" w:styleId="19">
    <w:name w:val="批注框文本 字符"/>
    <w:link w:val="4"/>
    <w:semiHidden/>
    <w:qFormat/>
    <w:uiPriority w:val="99"/>
    <w:rPr>
      <w:kern w:val="2"/>
      <w:sz w:val="18"/>
      <w:szCs w:val="18"/>
    </w:rPr>
  </w:style>
  <w:style w:type="character" w:customStyle="1" w:styleId="20">
    <w:name w:val="font11"/>
    <w:qFormat/>
    <w:uiPriority w:val="0"/>
    <w:rPr>
      <w:rFonts w:hint="eastAsia" w:ascii="宋体" w:hAnsi="宋体" w:eastAsia="宋体" w:cs="宋体"/>
      <w:color w:val="000000"/>
      <w:sz w:val="20"/>
      <w:szCs w:val="20"/>
      <w:u w:val="none"/>
    </w:rPr>
  </w:style>
  <w:style w:type="character" w:customStyle="1" w:styleId="21">
    <w:name w:val="font01"/>
    <w:qFormat/>
    <w:uiPriority w:val="0"/>
    <w:rPr>
      <w:rFonts w:hint="eastAsia" w:ascii="宋体" w:hAnsi="宋体" w:eastAsia="宋体" w:cs="宋体"/>
      <w:color w:val="000000"/>
      <w:sz w:val="22"/>
      <w:szCs w:val="22"/>
      <w:u w:val="none"/>
    </w:rPr>
  </w:style>
  <w:style w:type="character" w:customStyle="1" w:styleId="22">
    <w:name w:val="font5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27</Pages>
  <Words>744</Words>
  <Characters>4243</Characters>
  <Lines>35</Lines>
  <Paragraphs>9</Paragraphs>
  <TotalTime>13</TotalTime>
  <ScaleCrop>false</ScaleCrop>
  <LinksUpToDate>false</LinksUpToDate>
  <CharactersWithSpaces>4978</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2020-11-07T06:49:00Z</dcterms:created>
  <dc:creator>管理者</dc:creator>
  <cp:lastModifiedBy>lenovo</cp:lastModifiedBy>
  <cp:lastPrinted>2018-07-26T10:50:00Z</cp:lastPrinted>
  <dcterms:modified xsi:type="dcterms:W3CDTF">2021-05-27T01:21:49Z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y fmtid="{D5CDD505-2E9C-101B-9397-08002B2CF9AE}" pid="3" name="ICV">
    <vt:lpwstr>795D8ECB3D164525A9CF6E1B24E96807</vt:lpwstr>
  </property>
</Properties>
</file>