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2019年度</w:t>
      </w:r>
    </w:p>
    <w:p>
      <w:pPr>
        <w:jc w:val="center"/>
        <w:rPr>
          <w:rFonts w:hint="eastAsia" w:ascii="黑体" w:hAnsi="黑体" w:eastAsia="黑体" w:cs="黑体"/>
          <w:sz w:val="52"/>
          <w:szCs w:val="52"/>
        </w:rPr>
      </w:pPr>
      <w:r>
        <w:rPr>
          <w:rFonts w:hint="eastAsia" w:ascii="黑体" w:hAnsi="黑体" w:eastAsia="黑体" w:cs="黑体"/>
          <w:sz w:val="52"/>
          <w:szCs w:val="52"/>
        </w:rPr>
        <w:t>公共服务中心决算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hint="eastAsia" w:ascii="黑体" w:hAnsi="黑体" w:eastAsia="黑体" w:cs="黑体"/>
          <w:sz w:val="32"/>
          <w:szCs w:val="32"/>
          <w:lang w:eastAsia="zh-CN"/>
        </w:rPr>
      </w:pPr>
      <w:r>
        <w:rPr>
          <w:rFonts w:hint="eastAsia" w:ascii="黑体" w:hAnsi="黑体" w:eastAsia="黑体" w:cs="黑体"/>
          <w:sz w:val="32"/>
          <w:szCs w:val="32"/>
        </w:rPr>
        <w:t>第一部分　　</w:t>
      </w:r>
      <w:r>
        <w:rPr>
          <w:rFonts w:hint="eastAsia" w:ascii="黑体" w:hAnsi="黑体" w:eastAsia="黑体" w:cs="黑体"/>
          <w:sz w:val="32"/>
          <w:szCs w:val="32"/>
          <w:lang w:eastAsia="zh-CN"/>
        </w:rPr>
        <w:t>概述</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5" w:type="default"/>
          <w:footerReference r:id="rId6"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lang w:eastAsia="zh-CN"/>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概述</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shd w:val="clear" w:color="auto" w:fill="FFFFFF"/>
        <w:spacing w:line="600" w:lineRule="exact"/>
        <w:ind w:firstLine="643"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主要职责：</w:t>
      </w:r>
      <w:r>
        <w:rPr>
          <w:rFonts w:hint="eastAsia" w:ascii="仿宋_GB2312" w:hAnsi="仿宋_GB2312" w:eastAsia="仿宋_GB2312" w:cs="仿宋_GB2312"/>
          <w:kern w:val="0"/>
          <w:sz w:val="32"/>
          <w:szCs w:val="32"/>
          <w:shd w:val="clear" w:color="auto" w:fill="auto"/>
        </w:rPr>
        <w:t>在区党工委、管委会的领导下，组织开展中心管理体系建设、行政服务、接待服务、后勤保障等工作。</w:t>
      </w:r>
    </w:p>
    <w:p>
      <w:pPr>
        <w:widowControl/>
        <w:shd w:val="clear" w:color="auto" w:fill="FFFFFF"/>
        <w:spacing w:line="600" w:lineRule="exact"/>
        <w:ind w:firstLine="643"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（1）中心管理体系建设：</w:t>
      </w:r>
      <w:r>
        <w:rPr>
          <w:rFonts w:hint="eastAsia" w:ascii="仿宋_GB2312" w:hAnsi="仿宋_GB2312" w:eastAsia="仿宋_GB2312" w:cs="仿宋_GB2312"/>
          <w:kern w:val="0"/>
          <w:sz w:val="32"/>
          <w:szCs w:val="32"/>
          <w:shd w:val="clear" w:color="auto" w:fill="auto"/>
        </w:rPr>
        <w:t>负责制定中心的各项规章制度、管理办法并组织实施；受理和提供对驻中心各部门办事效率、行为规范等方面的监督和投诉服务；负责对驻中心工作人员的管理和考核。</w:t>
      </w:r>
    </w:p>
    <w:p>
      <w:pPr>
        <w:widowControl/>
        <w:shd w:val="clear" w:color="auto" w:fill="FFFFFF"/>
        <w:spacing w:line="600" w:lineRule="exact"/>
        <w:ind w:firstLine="643" w:firstLineChars="200"/>
        <w:textAlignment w:val="top"/>
        <w:rPr>
          <w:rFonts w:hint="eastAsia" w:ascii="仿宋_GB2312" w:hAnsi="仿宋_GB2312" w:eastAsia="仿宋_GB2312" w:cs="仿宋_GB2312"/>
          <w:b/>
          <w:bCs/>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（2）行政服务：</w:t>
      </w:r>
      <w:r>
        <w:rPr>
          <w:rFonts w:hint="eastAsia" w:ascii="仿宋_GB2312" w:hAnsi="仿宋_GB2312" w:eastAsia="仿宋_GB2312" w:cs="仿宋_GB2312"/>
          <w:kern w:val="0"/>
          <w:sz w:val="32"/>
          <w:szCs w:val="32"/>
          <w:shd w:val="clear" w:color="auto" w:fill="auto"/>
        </w:rPr>
        <w:t>负责办理区所有面向社会提供的工商、税务、质监、民政、残联、人口和计划生育、疾病预防、社会保障等行政服务事项；负责对进驻行政服务中心的各项业务进行管理、协调和监督，组织驻中心部门根据审批项目办理流程，开展即时办理、承诺办理、快速办理等服务；协调项目审批、备案、核准过程的有关问题；负责为区内企业提供快捷高效的服务。</w:t>
      </w:r>
    </w:p>
    <w:p>
      <w:pPr>
        <w:widowControl/>
        <w:shd w:val="clear" w:color="auto" w:fill="FFFFFF"/>
        <w:spacing w:line="600" w:lineRule="exact"/>
        <w:ind w:firstLine="643"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（3）接待服务：</w:t>
      </w:r>
      <w:r>
        <w:rPr>
          <w:rFonts w:hint="eastAsia" w:ascii="仿宋_GB2312" w:hAnsi="仿宋_GB2312" w:eastAsia="仿宋_GB2312" w:cs="仿宋_GB2312"/>
          <w:kern w:val="0"/>
          <w:sz w:val="32"/>
          <w:szCs w:val="32"/>
          <w:shd w:val="clear" w:color="auto" w:fill="auto"/>
        </w:rPr>
        <w:t>负责上级领导和外来团队到经开区视察、检查、参观、考察等活动的对外接待服务具体工作。</w:t>
      </w:r>
    </w:p>
    <w:p>
      <w:pPr>
        <w:widowControl/>
        <w:shd w:val="clear" w:color="auto" w:fill="FFFFFF"/>
        <w:spacing w:line="600" w:lineRule="exact"/>
        <w:ind w:firstLine="643"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（4）后勤保障：</w:t>
      </w:r>
      <w:r>
        <w:rPr>
          <w:rFonts w:hint="eastAsia" w:ascii="仿宋_GB2312" w:hAnsi="仿宋_GB2312" w:eastAsia="仿宋_GB2312" w:cs="仿宋_GB2312"/>
          <w:kern w:val="0"/>
          <w:sz w:val="32"/>
          <w:szCs w:val="32"/>
          <w:shd w:val="clear" w:color="auto" w:fill="auto"/>
        </w:rPr>
        <w:t>负责区机关直属车辆及机关固定资产、设备维护、安全保卫、餐厅及宿舍、环境卫生、绿化养护等后勤管理工作；负责区公共机构节能减排工作。</w:t>
      </w:r>
    </w:p>
    <w:p>
      <w:pPr>
        <w:widowControl/>
        <w:shd w:val="clear" w:color="auto" w:fill="FFFFFF"/>
        <w:spacing w:line="600" w:lineRule="exact"/>
        <w:ind w:firstLine="643"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b/>
          <w:bCs/>
          <w:kern w:val="0"/>
          <w:sz w:val="32"/>
          <w:szCs w:val="32"/>
          <w:shd w:val="clear" w:color="auto" w:fill="auto"/>
        </w:rPr>
        <w:t>（5）其他工作：</w:t>
      </w:r>
      <w:r>
        <w:rPr>
          <w:rFonts w:hint="eastAsia" w:ascii="仿宋_GB2312" w:hAnsi="仿宋_GB2312" w:eastAsia="仿宋_GB2312" w:cs="仿宋_GB2312"/>
          <w:kern w:val="0"/>
          <w:sz w:val="32"/>
          <w:szCs w:val="32"/>
          <w:shd w:val="clear" w:color="auto" w:fill="auto"/>
        </w:rPr>
        <w:t>协助相关部门做好招商引资和项目服务工作；承担区党工委、管委会交办的其他工作。</w:t>
      </w:r>
    </w:p>
    <w:p>
      <w:pPr>
        <w:widowControl/>
        <w:ind w:firstLine="640" w:firstLineChars="200"/>
        <w:jc w:val="left"/>
        <w:rPr>
          <w:rFonts w:hint="eastAsia" w:ascii="黑体" w:hAnsi="黑体" w:eastAsia="黑体" w:cs="黑体"/>
          <w:kern w:val="0"/>
          <w:sz w:val="32"/>
          <w:szCs w:val="32"/>
          <w:shd w:val="clear" w:color="auto" w:fill="auto"/>
        </w:rPr>
      </w:pPr>
    </w:p>
    <w:p>
      <w:pPr>
        <w:widowControl/>
        <w:ind w:firstLine="640" w:firstLineChars="200"/>
        <w:jc w:val="left"/>
        <w:rPr>
          <w:rFonts w:hint="eastAsia" w:ascii="黑体" w:hAnsi="黑体" w:eastAsia="黑体" w:cs="黑体"/>
          <w:kern w:val="0"/>
          <w:sz w:val="32"/>
          <w:szCs w:val="32"/>
          <w:shd w:val="clear" w:color="auto" w:fill="auto"/>
        </w:rPr>
      </w:pPr>
    </w:p>
    <w:p>
      <w:pPr>
        <w:widowControl/>
        <w:ind w:firstLine="640" w:firstLineChars="200"/>
        <w:jc w:val="left"/>
        <w:rPr>
          <w:rFonts w:hint="eastAsia" w:ascii="黑体" w:hAnsi="黑体" w:eastAsia="黑体" w:cs="黑体"/>
          <w:kern w:val="0"/>
          <w:sz w:val="32"/>
          <w:szCs w:val="32"/>
          <w:shd w:val="clear" w:color="auto" w:fill="auto"/>
        </w:rPr>
      </w:pPr>
      <w:r>
        <w:rPr>
          <w:rFonts w:hint="eastAsia" w:ascii="黑体" w:hAnsi="黑体" w:eastAsia="黑体" w:cs="黑体"/>
          <w:kern w:val="0"/>
          <w:sz w:val="32"/>
          <w:szCs w:val="32"/>
          <w:shd w:val="clear" w:color="auto" w:fill="auto"/>
        </w:rPr>
        <w:t>二、机构设置</w:t>
      </w:r>
    </w:p>
    <w:p>
      <w:pPr>
        <w:widowControl/>
        <w:shd w:val="clear" w:color="auto" w:fill="FFFFFF"/>
        <w:spacing w:line="600" w:lineRule="exact"/>
        <w:ind w:firstLine="640"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shd w:val="clear" w:color="auto" w:fill="auto"/>
        </w:rPr>
        <w:t>公共服务中心内设机构0个。</w:t>
      </w:r>
    </w:p>
    <w:p>
      <w:pPr>
        <w:widowControl/>
        <w:shd w:val="clear" w:color="auto" w:fill="FFFFFF"/>
        <w:spacing w:line="600" w:lineRule="exact"/>
        <w:ind w:firstLine="640" w:firstLineChars="200"/>
        <w:textAlignment w:val="top"/>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shd w:val="clear" w:color="auto" w:fill="auto"/>
        </w:rPr>
        <w:t>从决算单位构成看，公共服务中心决算是本级决算。</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12"/>
        <w:tblW w:w="14485" w:type="dxa"/>
        <w:tblInd w:w="0" w:type="dxa"/>
        <w:tblLayout w:type="fixed"/>
        <w:tblCellMar>
          <w:top w:w="0" w:type="dxa"/>
          <w:left w:w="0" w:type="dxa"/>
          <w:bottom w:w="0" w:type="dxa"/>
          <w:right w:w="0" w:type="dxa"/>
        </w:tblCellMar>
      </w:tblPr>
      <w:tblGrid>
        <w:gridCol w:w="6026"/>
        <w:gridCol w:w="612"/>
        <w:gridCol w:w="1041"/>
        <w:gridCol w:w="4334"/>
        <w:gridCol w:w="612"/>
        <w:gridCol w:w="1860"/>
      </w:tblGrid>
      <w:tr>
        <w:tblPrEx>
          <w:tblLayout w:type="fixed"/>
          <w:tblCellMar>
            <w:top w:w="0" w:type="dxa"/>
            <w:left w:w="0" w:type="dxa"/>
            <w:bottom w:w="0" w:type="dxa"/>
            <w:right w:w="0" w:type="dxa"/>
          </w:tblCellMar>
        </w:tblPrEx>
        <w:trPr>
          <w:trHeight w:val="390" w:hRule="atLeast"/>
        </w:trPr>
        <w:tc>
          <w:tcPr>
            <w:tcW w:w="14485" w:type="dxa"/>
            <w:gridSpan w:val="6"/>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r>
              <w:rPr>
                <w:rFonts w:hint="eastAsia" w:ascii="宋体" w:hAnsi="宋体" w:cs="宋体"/>
                <w:color w:val="000000"/>
                <w:kern w:val="0"/>
                <w:sz w:val="30"/>
                <w:szCs w:val="30"/>
                <w:lang w:bidi="ar"/>
              </w:rPr>
              <w:t>收入支出决算总表</w:t>
            </w:r>
          </w:p>
        </w:tc>
      </w:tr>
      <w:tr>
        <w:tblPrEx>
          <w:tblLayout w:type="fixed"/>
          <w:tblCellMar>
            <w:top w:w="0" w:type="dxa"/>
            <w:left w:w="0" w:type="dxa"/>
            <w:bottom w:w="0" w:type="dxa"/>
            <w:right w:w="0" w:type="dxa"/>
          </w:tblCellMar>
        </w:tblPrEx>
        <w:trPr>
          <w:trHeight w:val="255" w:hRule="atLeast"/>
        </w:trPr>
        <w:tc>
          <w:tcPr>
            <w:tcW w:w="602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1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33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1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6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255" w:hRule="atLeast"/>
        </w:trPr>
        <w:tc>
          <w:tcPr>
            <w:tcW w:w="6026"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61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33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1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6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7679"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680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0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8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0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8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2178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0</w:t>
            </w:r>
            <w:r>
              <w:rPr>
                <w:rFonts w:hint="eastAsia" w:ascii="宋体" w:hAnsi="宋体" w:cs="宋体"/>
                <w:color w:val="000000"/>
                <w:kern w:val="0"/>
                <w:sz w:val="22"/>
                <w:lang w:val="en-US" w:eastAsia="zh-CN" w:bidi="ar"/>
              </w:rPr>
              <w:t>3</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.46</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三、上级补助收入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四、事业收入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五、经营收入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六、附属单位上缴收入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七、其他收入</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4</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十四、资源勘探信息等支出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二十一、灾害防治及应急管理支出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二十二、其他支出</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2178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0</w:t>
            </w:r>
            <w:r>
              <w:rPr>
                <w:rFonts w:hint="eastAsia" w:ascii="宋体" w:hAnsi="宋体" w:cs="宋体"/>
                <w:color w:val="000000"/>
                <w:kern w:val="0"/>
                <w:sz w:val="22"/>
                <w:lang w:val="en-US" w:eastAsia="zh-CN" w:bidi="ar"/>
              </w:rPr>
              <w:t>3</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2580</w:t>
            </w:r>
            <w:r>
              <w:rPr>
                <w:rFonts w:hint="eastAsia" w:ascii="宋体" w:hAnsi="宋体" w:cs="宋体"/>
                <w:color w:val="000000"/>
                <w:kern w:val="0"/>
                <w:sz w:val="22"/>
                <w:lang w:val="en-US" w:eastAsia="zh-CN" w:bidi="ar"/>
              </w:rPr>
              <w:t>.30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用事业基金弥补收支差额</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结余分配</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455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4</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27</w:t>
            </w: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602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0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2633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7</w:t>
            </w:r>
          </w:p>
        </w:tc>
        <w:tc>
          <w:tcPr>
            <w:tcW w:w="433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2633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7</w:t>
            </w:r>
          </w:p>
        </w:tc>
      </w:tr>
      <w:tr>
        <w:tblPrEx>
          <w:tblLayout w:type="fixed"/>
          <w:tblCellMar>
            <w:top w:w="0" w:type="dxa"/>
            <w:left w:w="0" w:type="dxa"/>
            <w:bottom w:w="0" w:type="dxa"/>
            <w:right w:w="0" w:type="dxa"/>
          </w:tblCellMar>
        </w:tblPrEx>
        <w:trPr>
          <w:trHeight w:val="308" w:hRule="atLeast"/>
        </w:trPr>
        <w:tc>
          <w:tcPr>
            <w:tcW w:w="14485"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注：本表反映部门本年度的总收支和年末结转结余情况。本表金额转换为万元时，因四舍五入可能存在尾差。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3988" w:type="dxa"/>
        <w:tblInd w:w="0" w:type="dxa"/>
        <w:tblLayout w:type="fixed"/>
        <w:tblCellMar>
          <w:top w:w="0" w:type="dxa"/>
          <w:left w:w="0" w:type="dxa"/>
          <w:bottom w:w="0" w:type="dxa"/>
          <w:right w:w="0" w:type="dxa"/>
        </w:tblCellMar>
      </w:tblPr>
      <w:tblGrid>
        <w:gridCol w:w="4091"/>
        <w:gridCol w:w="50"/>
        <w:gridCol w:w="241"/>
        <w:gridCol w:w="3548"/>
        <w:gridCol w:w="1249"/>
        <w:gridCol w:w="1249"/>
        <w:gridCol w:w="1296"/>
        <w:gridCol w:w="404"/>
        <w:gridCol w:w="404"/>
        <w:gridCol w:w="405"/>
        <w:gridCol w:w="1051"/>
      </w:tblGrid>
      <w:tr>
        <w:tblPrEx>
          <w:tblLayout w:type="fixed"/>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r>
              <w:rPr>
                <w:rFonts w:hint="eastAsia" w:ascii="宋体" w:hAnsi="宋体" w:cs="宋体"/>
                <w:color w:val="000000"/>
                <w:kern w:val="0"/>
                <w:sz w:val="30"/>
                <w:szCs w:val="30"/>
                <w:lang w:bidi="ar"/>
              </w:rPr>
              <w:t>收入决算表</w:t>
            </w:r>
          </w:p>
        </w:tc>
      </w:tr>
      <w:tr>
        <w:tblPrEx>
          <w:tblLayout w:type="fixed"/>
          <w:tblCellMar>
            <w:top w:w="0" w:type="dxa"/>
            <w:left w:w="0" w:type="dxa"/>
            <w:bottom w:w="0" w:type="dxa"/>
            <w:right w:w="0" w:type="dxa"/>
          </w:tblCellMar>
        </w:tblPrEx>
        <w:trPr>
          <w:trHeight w:val="255" w:hRule="atLeast"/>
        </w:trPr>
        <w:tc>
          <w:tcPr>
            <w:tcW w:w="409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54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9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51"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255" w:hRule="atLeast"/>
        </w:trPr>
        <w:tc>
          <w:tcPr>
            <w:tcW w:w="4091"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54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9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51"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7930"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24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124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12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40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40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40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105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tblLayout w:type="fixed"/>
          <w:tblCellMar>
            <w:top w:w="0" w:type="dxa"/>
            <w:left w:w="0" w:type="dxa"/>
            <w:bottom w:w="0" w:type="dxa"/>
            <w:right w:w="0" w:type="dxa"/>
          </w:tblCellMar>
        </w:tblPrEx>
        <w:trPr>
          <w:trHeight w:val="312" w:hRule="atLeast"/>
        </w:trPr>
        <w:tc>
          <w:tcPr>
            <w:tcW w:w="438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54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05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38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354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05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38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354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05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793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2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29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40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0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Layout w:type="fixed"/>
          <w:tblCellMar>
            <w:top w:w="0" w:type="dxa"/>
            <w:left w:w="0" w:type="dxa"/>
            <w:bottom w:w="0" w:type="dxa"/>
            <w:right w:w="0" w:type="dxa"/>
          </w:tblCellMar>
        </w:tblPrEx>
        <w:trPr>
          <w:trHeight w:val="308" w:hRule="atLeast"/>
        </w:trPr>
        <w:tc>
          <w:tcPr>
            <w:tcW w:w="793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2178</w:t>
            </w:r>
            <w:r>
              <w:rPr>
                <w:rFonts w:hint="eastAsia" w:ascii="宋体" w:hAnsi="宋体" w:cs="宋体"/>
                <w:b/>
                <w:color w:val="000000"/>
                <w:kern w:val="0"/>
                <w:sz w:val="22"/>
                <w:lang w:val="en-US" w:eastAsia="zh-CN" w:bidi="ar"/>
              </w:rPr>
              <w:t>.</w:t>
            </w:r>
            <w:r>
              <w:rPr>
                <w:rFonts w:hint="eastAsia" w:ascii="宋体" w:hAnsi="宋体" w:cs="宋体"/>
                <w:b/>
                <w:color w:val="000000"/>
                <w:kern w:val="0"/>
                <w:sz w:val="22"/>
                <w:lang w:bidi="ar"/>
              </w:rPr>
              <w:t>03</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2178</w:t>
            </w:r>
            <w:r>
              <w:rPr>
                <w:rFonts w:hint="eastAsia" w:ascii="宋体" w:hAnsi="宋体" w:cs="宋体"/>
                <w:b/>
                <w:color w:val="000000"/>
                <w:kern w:val="0"/>
                <w:sz w:val="22"/>
                <w:lang w:val="en-US" w:eastAsia="zh-CN" w:bidi="ar"/>
              </w:rPr>
              <w:t>.</w:t>
            </w:r>
            <w:r>
              <w:rPr>
                <w:rFonts w:hint="eastAsia" w:ascii="宋体" w:hAnsi="宋体" w:cs="宋体"/>
                <w:b/>
                <w:color w:val="000000"/>
                <w:kern w:val="0"/>
                <w:sz w:val="22"/>
                <w:lang w:bidi="ar"/>
              </w:rPr>
              <w:t>03</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2165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19</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2165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9</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2165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9</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2165.19</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2010301</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208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2</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208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2</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2010304</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专项服务</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3</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3</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2010399</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其他政府办公厅（室）及相关机构事务支出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1783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4</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783.64</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4</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7.14</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行政事业单位离退休</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.94</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6.94</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20899</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其他社会保障和就业支出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0.20</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2089901</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其他社会保障和就业支出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0.20</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5.70</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5.70</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5.70</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.88</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8</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3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..83</w:t>
            </w:r>
          </w:p>
        </w:tc>
        <w:tc>
          <w:tcPr>
            <w:tcW w:w="124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.83</w:t>
            </w:r>
          </w:p>
        </w:tc>
        <w:tc>
          <w:tcPr>
            <w:tcW w:w="12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0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05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注：本表反映部门本年度取得的各项收入情况。本表金额转换为万元时，因四舍五入可能存在尾差。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3988" w:type="dxa"/>
        <w:tblInd w:w="0" w:type="dxa"/>
        <w:tblLayout w:type="fixed"/>
        <w:tblCellMar>
          <w:top w:w="0" w:type="dxa"/>
          <w:left w:w="0" w:type="dxa"/>
          <w:bottom w:w="0" w:type="dxa"/>
          <w:right w:w="0" w:type="dxa"/>
        </w:tblCellMar>
      </w:tblPr>
      <w:tblGrid>
        <w:gridCol w:w="4473"/>
        <w:gridCol w:w="36"/>
        <w:gridCol w:w="36"/>
        <w:gridCol w:w="4279"/>
        <w:gridCol w:w="780"/>
        <w:gridCol w:w="673"/>
        <w:gridCol w:w="1411"/>
        <w:gridCol w:w="459"/>
        <w:gridCol w:w="459"/>
        <w:gridCol w:w="1382"/>
      </w:tblGrid>
      <w:tr>
        <w:tblPrEx>
          <w:tblLayout w:type="fixed"/>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r>
              <w:rPr>
                <w:rFonts w:hint="eastAsia" w:ascii="宋体" w:hAnsi="宋体" w:cs="宋体"/>
                <w:color w:val="000000"/>
                <w:kern w:val="0"/>
                <w:sz w:val="30"/>
                <w:szCs w:val="30"/>
                <w:lang w:bidi="ar"/>
              </w:rPr>
              <w:t>支出决算表</w:t>
            </w:r>
          </w:p>
        </w:tc>
      </w:tr>
      <w:tr>
        <w:tblPrEx>
          <w:tblLayout w:type="fixed"/>
          <w:tblCellMar>
            <w:top w:w="0" w:type="dxa"/>
            <w:left w:w="0" w:type="dxa"/>
            <w:bottom w:w="0" w:type="dxa"/>
            <w:right w:w="0" w:type="dxa"/>
          </w:tblCellMar>
        </w:tblPrEx>
        <w:trPr>
          <w:trHeight w:val="255" w:hRule="atLeast"/>
        </w:trPr>
        <w:tc>
          <w:tcPr>
            <w:tcW w:w="447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27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7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5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5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255" w:hRule="atLeast"/>
        </w:trPr>
        <w:tc>
          <w:tcPr>
            <w:tcW w:w="4473"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27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7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5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5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8824"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7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67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41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45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459"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38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2" w:hRule="atLeast"/>
        </w:trPr>
        <w:tc>
          <w:tcPr>
            <w:tcW w:w="4545"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427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7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67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545"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27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7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67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545"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27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7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67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59"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8824"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78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67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41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4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5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3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trPr>
        <w:tc>
          <w:tcPr>
            <w:tcW w:w="8824"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b/>
                <w:color w:val="000000"/>
                <w:sz w:val="22"/>
                <w:lang w:val="en-US"/>
              </w:rPr>
            </w:pPr>
            <w:r>
              <w:rPr>
                <w:rFonts w:hint="eastAsia" w:ascii="宋体" w:hAnsi="宋体" w:cs="宋体"/>
                <w:b/>
                <w:color w:val="000000"/>
                <w:kern w:val="0"/>
                <w:sz w:val="22"/>
                <w:lang w:bidi="ar"/>
              </w:rPr>
              <w:t>2580</w:t>
            </w:r>
            <w:r>
              <w:rPr>
                <w:rFonts w:hint="eastAsia" w:ascii="宋体" w:hAnsi="宋体" w:cs="宋体"/>
                <w:b/>
                <w:color w:val="000000"/>
                <w:kern w:val="0"/>
                <w:sz w:val="22"/>
                <w:lang w:val="en-US" w:eastAsia="zh-CN" w:bidi="ar"/>
              </w:rPr>
              <w:t>.30</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b/>
                <w:color w:val="000000"/>
                <w:sz w:val="22"/>
                <w:lang w:eastAsia="zh-CN"/>
              </w:rPr>
            </w:pPr>
            <w:r>
              <w:rPr>
                <w:rFonts w:hint="eastAsia" w:ascii="宋体" w:hAnsi="宋体" w:cs="宋体"/>
                <w:b/>
                <w:color w:val="000000"/>
                <w:kern w:val="0"/>
                <w:sz w:val="22"/>
                <w:lang w:bidi="ar"/>
              </w:rPr>
              <w:t>298</w:t>
            </w:r>
            <w:r>
              <w:rPr>
                <w:rFonts w:hint="eastAsia" w:ascii="宋体" w:hAnsi="宋体" w:cs="宋体"/>
                <w:b/>
                <w:color w:val="000000"/>
                <w:kern w:val="0"/>
                <w:sz w:val="22"/>
                <w:lang w:val="en-US" w:eastAsia="zh-CN" w:bidi="ar"/>
              </w:rPr>
              <w:t>.</w:t>
            </w:r>
            <w:r>
              <w:rPr>
                <w:rFonts w:hint="eastAsia" w:ascii="宋体" w:hAnsi="宋体" w:cs="宋体"/>
                <w:b/>
                <w:color w:val="000000"/>
                <w:kern w:val="0"/>
                <w:sz w:val="22"/>
                <w:lang w:bidi="ar"/>
              </w:rPr>
              <w:t>3</w:t>
            </w:r>
            <w:r>
              <w:rPr>
                <w:rFonts w:hint="eastAsia" w:ascii="宋体" w:hAnsi="宋体" w:cs="宋体"/>
                <w:b/>
                <w:color w:val="000000"/>
                <w:kern w:val="0"/>
                <w:sz w:val="22"/>
                <w:lang w:val="en-US" w:eastAsia="zh-CN" w:bidi="ar"/>
              </w:rPr>
              <w:t>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228</w:t>
            </w:r>
            <w:r>
              <w:rPr>
                <w:rFonts w:hint="eastAsia" w:ascii="宋体" w:hAnsi="宋体" w:cs="宋体"/>
                <w:b/>
                <w:color w:val="000000"/>
                <w:kern w:val="0"/>
                <w:sz w:val="22"/>
                <w:lang w:val="en-US" w:eastAsia="zh-CN" w:bidi="ar"/>
              </w:rPr>
              <w:t>2.00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46</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282.00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46</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22,819,963.88</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2010301</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214</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5</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14.15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2010303</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机关服务</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380</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4,7</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380</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7</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2010304</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专项服务</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3</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73.13</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2010399</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其他政府办公厅（室）及相关机构事务支出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1799</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1</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71</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3</w:t>
            </w:r>
            <w:r>
              <w:rPr>
                <w:rFonts w:hint="eastAsia" w:ascii="宋体" w:hAnsi="宋体" w:cs="宋体"/>
                <w:color w:val="000000"/>
                <w:kern w:val="0"/>
                <w:sz w:val="22"/>
                <w:lang w:val="en-US" w:eastAsia="zh-CN" w:bidi="ar"/>
              </w:rPr>
              <w:t>1</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17,283,934.38</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14</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行政事业单位离退休</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20899</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其他社会保障和就业支出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val="en-US" w:eastAsia="zh-CN" w:bidi="ar"/>
              </w:rPr>
              <w:t>0.2</w:t>
            </w:r>
            <w:r>
              <w:rPr>
                <w:rFonts w:hint="eastAsia" w:ascii="宋体" w:hAnsi="宋体" w:cs="宋体"/>
                <w:color w:val="000000"/>
                <w:kern w:val="0"/>
                <w:sz w:val="22"/>
                <w:lang w:bidi="ar"/>
              </w:rPr>
              <w:t>0</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0.20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2089901</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其他社会保障和就业支出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val="en-US" w:eastAsia="zh-CN" w:bidi="ar"/>
              </w:rPr>
              <w:t>0.20</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0.20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8</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8</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5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42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78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3</w:t>
            </w:r>
          </w:p>
        </w:tc>
        <w:tc>
          <w:tcPr>
            <w:tcW w:w="67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3</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45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注：本表反映部门本年度各项支出情况。本表金额转换为万元时，因四舍五入可能存在尾差。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3988" w:type="dxa"/>
        <w:tblInd w:w="0" w:type="dxa"/>
        <w:tblLayout w:type="fixed"/>
        <w:tblCellMar>
          <w:top w:w="0" w:type="dxa"/>
          <w:left w:w="0" w:type="dxa"/>
          <w:bottom w:w="0" w:type="dxa"/>
          <w:right w:w="0" w:type="dxa"/>
        </w:tblCellMar>
      </w:tblPr>
      <w:tblGrid>
        <w:gridCol w:w="4630"/>
        <w:gridCol w:w="250"/>
        <w:gridCol w:w="1350"/>
        <w:gridCol w:w="3627"/>
        <w:gridCol w:w="250"/>
        <w:gridCol w:w="1146"/>
        <w:gridCol w:w="1297"/>
        <w:gridCol w:w="1438"/>
      </w:tblGrid>
      <w:tr>
        <w:tblPrEx>
          <w:tblLayout w:type="fixed"/>
          <w:tblCellMar>
            <w:top w:w="0" w:type="dxa"/>
            <w:left w:w="0" w:type="dxa"/>
            <w:bottom w:w="0" w:type="dxa"/>
            <w:right w:w="0" w:type="dxa"/>
          </w:tblCellMar>
        </w:tblPrEx>
        <w:trPr>
          <w:trHeight w:val="390" w:hRule="atLeast"/>
        </w:trPr>
        <w:tc>
          <w:tcPr>
            <w:tcW w:w="13988" w:type="dxa"/>
            <w:gridSpan w:val="8"/>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r>
              <w:rPr>
                <w:rFonts w:hint="eastAsia" w:ascii="宋体" w:hAnsi="宋体" w:cs="宋体"/>
                <w:color w:val="000000"/>
                <w:kern w:val="0"/>
                <w:sz w:val="30"/>
                <w:szCs w:val="30"/>
                <w:lang w:bidi="ar"/>
              </w:rPr>
              <w:t>财政拨款收入支出决算总表</w:t>
            </w:r>
          </w:p>
        </w:tc>
      </w:tr>
      <w:tr>
        <w:tblPrEx>
          <w:tblLayout w:type="fixed"/>
          <w:tblCellMar>
            <w:top w:w="0" w:type="dxa"/>
            <w:left w:w="0" w:type="dxa"/>
            <w:bottom w:w="0" w:type="dxa"/>
            <w:right w:w="0" w:type="dxa"/>
          </w:tblCellMar>
        </w:tblPrEx>
        <w:trPr>
          <w:trHeight w:val="255" w:hRule="atLeast"/>
        </w:trPr>
        <w:tc>
          <w:tcPr>
            <w:tcW w:w="463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9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38"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255" w:hRule="atLeast"/>
        </w:trPr>
        <w:tc>
          <w:tcPr>
            <w:tcW w:w="46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2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9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38"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6230"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7758"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trPr>
        <w:tc>
          <w:tcPr>
            <w:tcW w:w="46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6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14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2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143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r>
      <w:tr>
        <w:tblPrEx>
          <w:tblLayout w:type="fixed"/>
          <w:tblCellMar>
            <w:top w:w="0" w:type="dxa"/>
            <w:left w:w="0" w:type="dxa"/>
            <w:bottom w:w="0" w:type="dxa"/>
            <w:right w:w="0" w:type="dxa"/>
          </w:tblCellMar>
        </w:tblPrEx>
        <w:trPr>
          <w:trHeight w:val="615" w:hRule="atLeast"/>
        </w:trPr>
        <w:tc>
          <w:tcPr>
            <w:tcW w:w="46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36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14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2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43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14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2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43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2178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0</w:t>
            </w:r>
            <w:r>
              <w:rPr>
                <w:rFonts w:hint="eastAsia" w:ascii="宋体" w:hAnsi="宋体" w:cs="宋体"/>
                <w:color w:val="000000"/>
                <w:kern w:val="0"/>
                <w:sz w:val="22"/>
                <w:lang w:val="en-US" w:eastAsia="zh-CN" w:bidi="ar"/>
              </w:rPr>
              <w:t>3</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.46</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4</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14</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十四、资源勘探信息等支出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二十一、灾害防治及应急管理支出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二十二、其他支出</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2178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0</w:t>
            </w:r>
            <w:r>
              <w:rPr>
                <w:rFonts w:hint="eastAsia" w:ascii="宋体" w:hAnsi="宋体" w:cs="宋体"/>
                <w:color w:val="000000"/>
                <w:kern w:val="0"/>
                <w:sz w:val="22"/>
                <w:lang w:val="en-US" w:eastAsia="zh-CN" w:bidi="ar"/>
              </w:rPr>
              <w:t>3</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2580</w:t>
            </w:r>
            <w:r>
              <w:rPr>
                <w:rFonts w:hint="eastAsia" w:ascii="宋体" w:hAnsi="宋体" w:cs="宋体"/>
                <w:color w:val="000000"/>
                <w:kern w:val="0"/>
                <w:sz w:val="22"/>
                <w:lang w:val="en-US" w:eastAsia="zh-CN" w:bidi="ar"/>
              </w:rPr>
              <w:t>.30</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2580</w:t>
            </w:r>
            <w:r>
              <w:rPr>
                <w:rFonts w:hint="eastAsia" w:ascii="宋体" w:hAnsi="宋体" w:cs="宋体"/>
                <w:color w:val="000000"/>
                <w:kern w:val="0"/>
                <w:sz w:val="22"/>
                <w:lang w:val="en-US" w:eastAsia="zh-CN" w:bidi="ar"/>
              </w:rPr>
              <w:t>.30</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54</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27</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7</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4,555,400.33</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6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2633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7</w:t>
            </w:r>
          </w:p>
        </w:tc>
        <w:tc>
          <w:tcPr>
            <w:tcW w:w="36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2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114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2633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57</w:t>
            </w:r>
          </w:p>
        </w:tc>
        <w:tc>
          <w:tcPr>
            <w:tcW w:w="129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26</w:t>
            </w:r>
            <w:r>
              <w:rPr>
                <w:rFonts w:hint="eastAsia" w:ascii="宋体" w:hAnsi="宋体" w:cs="宋体"/>
                <w:color w:val="000000"/>
                <w:kern w:val="0"/>
                <w:sz w:val="22"/>
                <w:lang w:val="en-US" w:eastAsia="zh-CN" w:bidi="ar"/>
              </w:rPr>
              <w:t>33.57</w:t>
            </w:r>
          </w:p>
        </w:tc>
        <w:tc>
          <w:tcPr>
            <w:tcW w:w="143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554" w:hRule="atLeast"/>
        </w:trPr>
        <w:tc>
          <w:tcPr>
            <w:tcW w:w="13988"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注：本表反映部门本年度一般公共预算财政拨款和政府性基金预算财政拨款的总收支和年末结转结余情况。本表金额转换为万元时，因四舍五入可能存在尾差。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3941" w:type="dxa"/>
        <w:tblInd w:w="0" w:type="dxa"/>
        <w:tblLayout w:type="fixed"/>
        <w:tblCellMar>
          <w:top w:w="0" w:type="dxa"/>
          <w:left w:w="0" w:type="dxa"/>
          <w:bottom w:w="0" w:type="dxa"/>
          <w:right w:w="0" w:type="dxa"/>
        </w:tblCellMar>
      </w:tblPr>
      <w:tblGrid>
        <w:gridCol w:w="1437"/>
        <w:gridCol w:w="3193"/>
        <w:gridCol w:w="240"/>
        <w:gridCol w:w="90"/>
        <w:gridCol w:w="4517"/>
        <w:gridCol w:w="54"/>
        <w:gridCol w:w="1116"/>
        <w:gridCol w:w="54"/>
        <w:gridCol w:w="1356"/>
        <w:gridCol w:w="54"/>
        <w:gridCol w:w="1776"/>
        <w:gridCol w:w="54"/>
      </w:tblGrid>
      <w:tr>
        <w:tblPrEx>
          <w:tblLayout w:type="fixed"/>
          <w:tblCellMar>
            <w:top w:w="0" w:type="dxa"/>
            <w:left w:w="0" w:type="dxa"/>
            <w:bottom w:w="0" w:type="dxa"/>
            <w:right w:w="0" w:type="dxa"/>
          </w:tblCellMar>
        </w:tblPrEx>
        <w:trPr>
          <w:gridAfter w:val="1"/>
          <w:wAfter w:w="54" w:type="dxa"/>
          <w:trHeight w:val="369" w:hRule="atLeast"/>
        </w:trPr>
        <w:tc>
          <w:tcPr>
            <w:tcW w:w="13887" w:type="dxa"/>
            <w:gridSpan w:val="11"/>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r>
              <w:rPr>
                <w:rFonts w:hint="eastAsia" w:ascii="宋体" w:hAnsi="宋体" w:cs="宋体"/>
                <w:color w:val="000000"/>
                <w:kern w:val="0"/>
                <w:sz w:val="30"/>
                <w:szCs w:val="30"/>
                <w:lang w:bidi="ar"/>
              </w:rPr>
              <w:t>一般公共预算财政拨款支出决算表</w:t>
            </w:r>
          </w:p>
        </w:tc>
      </w:tr>
      <w:tr>
        <w:tblPrEx>
          <w:tblLayout w:type="fixed"/>
          <w:tblCellMar>
            <w:top w:w="0" w:type="dxa"/>
            <w:left w:w="0" w:type="dxa"/>
            <w:bottom w:w="0" w:type="dxa"/>
            <w:right w:w="0" w:type="dxa"/>
          </w:tblCellMar>
        </w:tblPrEx>
        <w:trPr>
          <w:trHeight w:val="255" w:hRule="atLeast"/>
        </w:trPr>
        <w:tc>
          <w:tcPr>
            <w:tcW w:w="463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571"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7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1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3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trPr>
        <w:tc>
          <w:tcPr>
            <w:tcW w:w="4630" w:type="dxa"/>
            <w:gridSpan w:val="2"/>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2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571"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7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1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3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gridAfter w:val="1"/>
          <w:wAfter w:w="54" w:type="dxa"/>
          <w:trHeight w:val="262" w:hRule="atLeast"/>
        </w:trPr>
        <w:tc>
          <w:tcPr>
            <w:tcW w:w="9477" w:type="dxa"/>
            <w:gridSpan w:val="5"/>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410"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r>
      <w:tr>
        <w:tblPrEx>
          <w:tblLayout w:type="fixed"/>
          <w:tblCellMar>
            <w:top w:w="0" w:type="dxa"/>
            <w:left w:w="0" w:type="dxa"/>
            <w:bottom w:w="0" w:type="dxa"/>
            <w:right w:w="0" w:type="dxa"/>
          </w:tblCellMar>
        </w:tblPrEx>
        <w:trPr>
          <w:gridAfter w:val="1"/>
          <w:wAfter w:w="54" w:type="dxa"/>
          <w:trHeight w:val="312" w:hRule="atLeast"/>
        </w:trPr>
        <w:tc>
          <w:tcPr>
            <w:tcW w:w="1437"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8040" w:type="dxa"/>
            <w:gridSpan w:val="4"/>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17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41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830" w:type="dxa"/>
            <w:gridSpan w:val="2"/>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Layout w:type="fixed"/>
          <w:tblCellMar>
            <w:top w:w="0" w:type="dxa"/>
            <w:left w:w="0" w:type="dxa"/>
            <w:bottom w:w="0" w:type="dxa"/>
            <w:right w:w="0" w:type="dxa"/>
          </w:tblCellMar>
        </w:tblPrEx>
        <w:trPr>
          <w:gridAfter w:val="1"/>
          <w:wAfter w:w="54" w:type="dxa"/>
          <w:trHeight w:val="312" w:hRule="atLeast"/>
        </w:trPr>
        <w:tc>
          <w:tcPr>
            <w:tcW w:w="1437"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8040" w:type="dxa"/>
            <w:gridSpan w:val="4"/>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17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41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83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gridAfter w:val="1"/>
          <w:wAfter w:w="54" w:type="dxa"/>
          <w:trHeight w:val="312" w:hRule="atLeast"/>
        </w:trPr>
        <w:tc>
          <w:tcPr>
            <w:tcW w:w="1437"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8040" w:type="dxa"/>
            <w:gridSpan w:val="4"/>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17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41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830" w:type="dxa"/>
            <w:gridSpan w:val="2"/>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gridAfter w:val="1"/>
          <w:wAfter w:w="54" w:type="dxa"/>
          <w:trHeight w:val="262" w:hRule="atLeast"/>
        </w:trPr>
        <w:tc>
          <w:tcPr>
            <w:tcW w:w="9477"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17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41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83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Layout w:type="fixed"/>
          <w:tblCellMar>
            <w:top w:w="0" w:type="dxa"/>
            <w:left w:w="0" w:type="dxa"/>
            <w:bottom w:w="0" w:type="dxa"/>
            <w:right w:w="0" w:type="dxa"/>
          </w:tblCellMar>
        </w:tblPrEx>
        <w:trPr>
          <w:gridAfter w:val="1"/>
          <w:wAfter w:w="54" w:type="dxa"/>
          <w:trHeight w:val="262" w:hRule="atLeast"/>
        </w:trPr>
        <w:tc>
          <w:tcPr>
            <w:tcW w:w="9477"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b/>
                <w:color w:val="000000"/>
                <w:sz w:val="22"/>
                <w:lang w:val="en-US"/>
              </w:rPr>
            </w:pPr>
            <w:r>
              <w:rPr>
                <w:rFonts w:hint="eastAsia" w:ascii="宋体" w:hAnsi="宋体" w:cs="宋体"/>
                <w:b/>
                <w:color w:val="000000"/>
                <w:kern w:val="0"/>
                <w:sz w:val="22"/>
                <w:lang w:bidi="ar"/>
              </w:rPr>
              <w:t>2580</w:t>
            </w:r>
            <w:r>
              <w:rPr>
                <w:rFonts w:hint="eastAsia" w:ascii="宋体" w:hAnsi="宋体" w:cs="宋体"/>
                <w:b/>
                <w:color w:val="000000"/>
                <w:kern w:val="0"/>
                <w:sz w:val="22"/>
                <w:lang w:val="en-US" w:eastAsia="zh-CN" w:bidi="ar"/>
              </w:rPr>
              <w:t>.30</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298</w:t>
            </w:r>
            <w:r>
              <w:rPr>
                <w:rFonts w:hint="eastAsia" w:ascii="宋体" w:hAnsi="宋体" w:cs="宋体"/>
                <w:b/>
                <w:color w:val="000000"/>
                <w:kern w:val="0"/>
                <w:sz w:val="22"/>
                <w:lang w:val="en-US" w:eastAsia="zh-CN" w:bidi="ar"/>
              </w:rPr>
              <w:t>.</w:t>
            </w:r>
            <w:r>
              <w:rPr>
                <w:rFonts w:hint="eastAsia" w:ascii="宋体" w:hAnsi="宋体" w:cs="宋体"/>
                <w:b/>
                <w:color w:val="000000"/>
                <w:kern w:val="0"/>
                <w:sz w:val="22"/>
                <w:lang w:bidi="ar"/>
              </w:rPr>
              <w:t>30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228</w:t>
            </w:r>
            <w:r>
              <w:rPr>
                <w:rFonts w:hint="eastAsia" w:ascii="宋体" w:hAnsi="宋体" w:cs="宋体"/>
                <w:b/>
                <w:color w:val="000000"/>
                <w:kern w:val="0"/>
                <w:sz w:val="22"/>
                <w:lang w:val="en-US" w:eastAsia="zh-CN" w:bidi="ar"/>
              </w:rPr>
              <w:t>.20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285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228</w:t>
            </w:r>
            <w:r>
              <w:rPr>
                <w:rFonts w:hint="eastAsia" w:ascii="宋体" w:hAnsi="宋体" w:cs="宋体"/>
                <w:color w:val="000000"/>
                <w:kern w:val="0"/>
                <w:sz w:val="22"/>
                <w:lang w:val="en-US" w:eastAsia="zh-CN" w:bidi="ar"/>
              </w:rPr>
              <w:t>2.00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2567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285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6</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228</w:t>
            </w:r>
            <w:r>
              <w:rPr>
                <w:rFonts w:hint="eastAsia" w:ascii="宋体" w:hAnsi="宋体" w:cs="宋体"/>
                <w:color w:val="000000"/>
                <w:kern w:val="0"/>
                <w:sz w:val="22"/>
                <w:lang w:val="en-US" w:eastAsia="zh-CN" w:bidi="ar"/>
              </w:rPr>
              <w:t>2.00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2010301</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214</w:t>
            </w:r>
            <w:r>
              <w:rPr>
                <w:rFonts w:hint="eastAsia" w:ascii="宋体" w:hAnsi="宋体" w:cs="宋体"/>
                <w:color w:val="000000"/>
                <w:kern w:val="0"/>
                <w:sz w:val="22"/>
                <w:lang w:val="en-US" w:eastAsia="zh-CN" w:bidi="ar"/>
              </w:rPr>
              <w:t>.15</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214</w:t>
            </w:r>
            <w:r>
              <w:rPr>
                <w:rFonts w:hint="eastAsia" w:ascii="宋体" w:hAnsi="宋体" w:cs="宋体"/>
                <w:color w:val="000000"/>
                <w:kern w:val="0"/>
                <w:sz w:val="22"/>
                <w:lang w:val="en-US" w:eastAsia="zh-CN" w:bidi="ar"/>
              </w:rPr>
              <w:t>.15</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2010303</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机关服务</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380</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7</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380</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7</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2010304</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专项服务</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173</w:t>
            </w:r>
            <w:r>
              <w:rPr>
                <w:rFonts w:hint="eastAsia" w:ascii="宋体" w:hAnsi="宋体" w:cs="宋体"/>
                <w:color w:val="000000"/>
                <w:kern w:val="0"/>
                <w:sz w:val="22"/>
                <w:lang w:val="en-US" w:eastAsia="zh-CN" w:bidi="ar"/>
              </w:rPr>
              <w:t>.13</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cs="宋体"/>
                <w:color w:val="000000"/>
                <w:sz w:val="22"/>
                <w:lang w:val="en-US"/>
              </w:rPr>
            </w:pPr>
            <w:r>
              <w:rPr>
                <w:rFonts w:hint="eastAsia" w:ascii="宋体" w:hAnsi="宋体" w:cs="宋体"/>
                <w:color w:val="000000"/>
                <w:kern w:val="0"/>
                <w:sz w:val="22"/>
                <w:lang w:bidi="ar"/>
              </w:rPr>
              <w:t>173</w:t>
            </w:r>
            <w:r>
              <w:rPr>
                <w:rFonts w:hint="eastAsia" w:ascii="宋体" w:hAnsi="宋体" w:cs="宋体"/>
                <w:color w:val="000000"/>
                <w:kern w:val="0"/>
                <w:sz w:val="22"/>
                <w:lang w:val="en-US" w:eastAsia="zh-CN" w:bidi="ar"/>
              </w:rPr>
              <w:t>.13</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2010399</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其他政府办公厅（室）及相关机构事务支出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1799</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1</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71</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3</w:t>
            </w:r>
            <w:r>
              <w:rPr>
                <w:rFonts w:hint="eastAsia" w:ascii="宋体" w:hAnsi="宋体" w:cs="宋体"/>
                <w:color w:val="000000"/>
                <w:kern w:val="0"/>
                <w:sz w:val="22"/>
                <w:lang w:val="en-US" w:eastAsia="zh-CN" w:bidi="ar"/>
              </w:rPr>
              <w:t>1</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1728</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3</w:t>
            </w:r>
            <w:r>
              <w:rPr>
                <w:rFonts w:hint="eastAsia" w:ascii="宋体" w:hAnsi="宋体" w:cs="宋体"/>
                <w:color w:val="000000"/>
                <w:kern w:val="0"/>
                <w:sz w:val="22"/>
                <w:lang w:val="en-US" w:eastAsia="zh-CN" w:bidi="ar"/>
              </w:rPr>
              <w:t>9</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4</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4</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行政事业单位离退休</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20899</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其他社会保障和就业支出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0</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2,0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2089901</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其他社会保障和就业支出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bidi="ar"/>
              </w:rPr>
              <w:t>0.20</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0.20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.70</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7</w:t>
            </w:r>
            <w:r>
              <w:rPr>
                <w:rFonts w:hint="eastAsia" w:ascii="宋体" w:hAnsi="宋体" w:cs="宋体"/>
                <w:color w:val="000000"/>
                <w:kern w:val="0"/>
                <w:sz w:val="22"/>
                <w:lang w:val="en-US" w:eastAsia="zh-CN" w:bidi="ar"/>
              </w:rPr>
              <w:t>0</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8</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8</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43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804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11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3</w:t>
            </w:r>
          </w:p>
        </w:tc>
        <w:tc>
          <w:tcPr>
            <w:tcW w:w="14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3</w:t>
            </w:r>
          </w:p>
        </w:tc>
        <w:tc>
          <w:tcPr>
            <w:tcW w:w="18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gridAfter w:val="1"/>
          <w:wAfter w:w="54" w:type="dxa"/>
          <w:trHeight w:val="262" w:hRule="atLeast"/>
        </w:trPr>
        <w:tc>
          <w:tcPr>
            <w:tcW w:w="13887"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注：本表反映部门本年度一般公共预算财政拨款支出情况。本表金额转换为万元时，因四舍五入可能存在尾差。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3988" w:type="dxa"/>
        <w:tblInd w:w="0" w:type="dxa"/>
        <w:tblLayout w:type="fixed"/>
        <w:tblCellMar>
          <w:top w:w="0" w:type="dxa"/>
          <w:left w:w="0" w:type="dxa"/>
          <w:bottom w:w="0" w:type="dxa"/>
          <w:right w:w="0" w:type="dxa"/>
        </w:tblCellMar>
      </w:tblPr>
      <w:tblGrid>
        <w:gridCol w:w="3030"/>
        <w:gridCol w:w="2093"/>
        <w:gridCol w:w="856"/>
        <w:gridCol w:w="372"/>
        <w:gridCol w:w="3217"/>
        <w:gridCol w:w="579"/>
        <w:gridCol w:w="372"/>
        <w:gridCol w:w="2649"/>
        <w:gridCol w:w="820"/>
      </w:tblGrid>
      <w:tr>
        <w:tblPrEx>
          <w:tblLayout w:type="fixed"/>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r>
              <w:rPr>
                <w:rFonts w:hint="eastAsia" w:ascii="宋体" w:hAnsi="宋体" w:cs="宋体"/>
                <w:color w:val="000000"/>
                <w:kern w:val="0"/>
                <w:sz w:val="30"/>
                <w:szCs w:val="30"/>
                <w:lang w:bidi="ar"/>
              </w:rPr>
              <w:t>一般公共预算财政拨款基本支出决算表</w:t>
            </w:r>
          </w:p>
        </w:tc>
      </w:tr>
      <w:tr>
        <w:tblPrEx>
          <w:tblLayout w:type="fixed"/>
          <w:tblCellMar>
            <w:top w:w="0" w:type="dxa"/>
            <w:left w:w="0" w:type="dxa"/>
            <w:bottom w:w="0" w:type="dxa"/>
            <w:right w:w="0" w:type="dxa"/>
          </w:tblCellMar>
        </w:tblPrEx>
        <w:trPr>
          <w:trHeight w:val="255" w:hRule="atLeast"/>
        </w:trPr>
        <w:tc>
          <w:tcPr>
            <w:tcW w:w="303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09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5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1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2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255" w:hRule="atLeast"/>
        </w:trPr>
        <w:tc>
          <w:tcPr>
            <w:tcW w:w="30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209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5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1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7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2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w:t>
            </w:r>
            <w:r>
              <w:rPr>
                <w:rFonts w:hint="eastAsia" w:ascii="宋体" w:hAnsi="宋体" w:cs="宋体"/>
                <w:color w:val="000000"/>
                <w:kern w:val="0"/>
                <w:sz w:val="18"/>
                <w:szCs w:val="18"/>
                <w:lang w:eastAsia="zh-CN" w:bidi="ar"/>
              </w:rPr>
              <w:t>万</w:t>
            </w:r>
            <w:r>
              <w:rPr>
                <w:rFonts w:hint="eastAsia" w:ascii="宋体" w:hAnsi="宋体" w:cs="宋体"/>
                <w:color w:val="000000"/>
                <w:kern w:val="0"/>
                <w:sz w:val="18"/>
                <w:szCs w:val="18"/>
                <w:lang w:bidi="ar"/>
              </w:rPr>
              <w:t>元</w:t>
            </w:r>
          </w:p>
        </w:tc>
      </w:tr>
      <w:tr>
        <w:tblPrEx>
          <w:tblLayout w:type="fixed"/>
          <w:tblCellMar>
            <w:top w:w="0" w:type="dxa"/>
            <w:left w:w="0" w:type="dxa"/>
            <w:bottom w:w="0" w:type="dxa"/>
            <w:right w:w="0" w:type="dxa"/>
          </w:tblCellMar>
        </w:tblPrEx>
        <w:trPr>
          <w:trHeight w:val="308" w:hRule="atLeast"/>
        </w:trPr>
        <w:tc>
          <w:tcPr>
            <w:tcW w:w="5979" w:type="dxa"/>
            <w:gridSpan w:val="3"/>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8009"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Layout w:type="fixed"/>
          <w:tblCellMar>
            <w:top w:w="0" w:type="dxa"/>
            <w:left w:w="0" w:type="dxa"/>
            <w:bottom w:w="0" w:type="dxa"/>
            <w:right w:w="0" w:type="dxa"/>
          </w:tblCellMar>
        </w:tblPrEx>
        <w:trPr>
          <w:trHeight w:val="312" w:hRule="atLeast"/>
        </w:trPr>
        <w:tc>
          <w:tcPr>
            <w:tcW w:w="30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09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85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3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21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57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3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64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8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Layout w:type="fixed"/>
          <w:tblCellMar>
            <w:top w:w="0" w:type="dxa"/>
            <w:left w:w="0" w:type="dxa"/>
            <w:bottom w:w="0" w:type="dxa"/>
            <w:right w:w="0" w:type="dxa"/>
          </w:tblCellMar>
        </w:tblPrEx>
        <w:trPr>
          <w:trHeight w:val="312" w:hRule="atLeast"/>
        </w:trPr>
        <w:tc>
          <w:tcPr>
            <w:tcW w:w="30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209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8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3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321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57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3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264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8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234</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49</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1</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139</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val="en-US" w:eastAsia="zh-CN" w:bidi="ar"/>
              </w:rPr>
              <w:t>0.92</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76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5</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17</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5</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9</w:t>
            </w:r>
            <w:r>
              <w:rPr>
                <w:rFonts w:hint="eastAsia" w:ascii="宋体" w:hAnsi="宋体" w:cs="宋体"/>
                <w:color w:val="000000"/>
                <w:kern w:val="0"/>
                <w:sz w:val="22"/>
                <w:lang w:val="en-US" w:eastAsia="zh-CN" w:bidi="ar"/>
              </w:rPr>
              <w:t>4</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44</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0</w:t>
            </w:r>
            <w:r>
              <w:rPr>
                <w:rFonts w:hint="eastAsia" w:ascii="宋体" w:hAnsi="宋体" w:cs="宋体"/>
                <w:color w:val="000000"/>
                <w:kern w:val="0"/>
                <w:sz w:val="22"/>
                <w:lang w:val="en-US" w:eastAsia="zh-CN" w:bidi="ar"/>
              </w:rPr>
              <w:t>3</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8</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3</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2</w:t>
            </w:r>
            <w:r>
              <w:rPr>
                <w:rFonts w:hint="eastAsia" w:ascii="宋体" w:hAnsi="宋体" w:cs="宋体"/>
                <w:color w:val="000000"/>
                <w:kern w:val="0"/>
                <w:sz w:val="22"/>
                <w:lang w:val="en-US" w:eastAsia="zh-CN" w:bidi="ar"/>
              </w:rPr>
              <w:t>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w:t>
            </w:r>
            <w:r>
              <w:rPr>
                <w:rFonts w:hint="eastAsia" w:ascii="宋体" w:hAnsi="宋体" w:cs="宋体"/>
                <w:color w:val="000000"/>
                <w:kern w:val="0"/>
                <w:sz w:val="22"/>
                <w:lang w:val="en-US" w:eastAsia="zh-CN" w:bidi="ar"/>
              </w:rPr>
              <w:t>.40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34</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公务接待费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1</w:t>
            </w:r>
            <w:r>
              <w:rPr>
                <w:rFonts w:hint="eastAsia" w:ascii="宋体" w:hAnsi="宋体" w:cs="宋体"/>
                <w:color w:val="000000"/>
                <w:kern w:val="0"/>
                <w:sz w:val="22"/>
                <w:lang w:val="en-US" w:eastAsia="zh-CN" w:bidi="ar"/>
              </w:rPr>
              <w:t>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0.00</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09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2"/>
              </w:rPr>
            </w:pP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32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5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28</w:t>
            </w:r>
          </w:p>
        </w:tc>
        <w:tc>
          <w:tcPr>
            <w:tcW w:w="37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264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cs="宋体"/>
                <w:color w:val="000000"/>
                <w:sz w:val="22"/>
              </w:rPr>
            </w:pP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5123"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8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234</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4</w:t>
            </w:r>
            <w:r>
              <w:rPr>
                <w:rFonts w:hint="eastAsia" w:ascii="宋体" w:hAnsi="宋体" w:cs="宋体"/>
                <w:color w:val="000000"/>
                <w:kern w:val="0"/>
                <w:sz w:val="22"/>
                <w:lang w:val="en-US" w:eastAsia="zh-CN" w:bidi="ar"/>
              </w:rPr>
              <w:t>9</w:t>
            </w:r>
          </w:p>
        </w:tc>
        <w:tc>
          <w:tcPr>
            <w:tcW w:w="7189" w:type="dxa"/>
            <w:gridSpan w:val="5"/>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82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63</w:t>
            </w:r>
            <w:r>
              <w:rPr>
                <w:rFonts w:hint="eastAsia" w:ascii="宋体" w:hAnsi="宋体" w:cs="宋体"/>
                <w:color w:val="000000"/>
                <w:kern w:val="0"/>
                <w:sz w:val="22"/>
                <w:lang w:val="en-US" w:eastAsia="zh-CN" w:bidi="ar"/>
              </w:rPr>
              <w:t>.</w:t>
            </w:r>
            <w:r>
              <w:rPr>
                <w:rFonts w:hint="eastAsia" w:ascii="宋体" w:hAnsi="宋体" w:cs="宋体"/>
                <w:color w:val="000000"/>
                <w:kern w:val="0"/>
                <w:sz w:val="22"/>
                <w:lang w:bidi="ar"/>
              </w:rPr>
              <w:t>8</w:t>
            </w:r>
            <w:r>
              <w:rPr>
                <w:rFonts w:hint="eastAsia" w:ascii="宋体" w:hAnsi="宋体" w:cs="宋体"/>
                <w:color w:val="000000"/>
                <w:kern w:val="0"/>
                <w:sz w:val="22"/>
                <w:lang w:val="en-US" w:eastAsia="zh-CN" w:bidi="ar"/>
              </w:rPr>
              <w:t>1</w:t>
            </w:r>
          </w:p>
        </w:tc>
      </w:tr>
      <w:tr>
        <w:tblPrEx>
          <w:tblLayout w:type="fixed"/>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注：本表反映部门本年度一般公共预算财政拨款基本支出明细情况。本表金额转换为万元时，因四舍五入可能存在尾差。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3988" w:type="dxa"/>
        <w:tblInd w:w="0" w:type="dxa"/>
        <w:tblLayout w:type="fixed"/>
        <w:tblCellMar>
          <w:top w:w="0" w:type="dxa"/>
          <w:left w:w="0" w:type="dxa"/>
          <w:bottom w:w="0" w:type="dxa"/>
          <w:right w:w="0" w:type="dxa"/>
        </w:tblCellMar>
      </w:tblPr>
      <w:tblGrid>
        <w:gridCol w:w="1497"/>
        <w:gridCol w:w="1155"/>
        <w:gridCol w:w="900"/>
        <w:gridCol w:w="720"/>
        <w:gridCol w:w="600"/>
        <w:gridCol w:w="2550"/>
        <w:gridCol w:w="1665"/>
        <w:gridCol w:w="1350"/>
        <w:gridCol w:w="855"/>
        <w:gridCol w:w="915"/>
        <w:gridCol w:w="697"/>
        <w:gridCol w:w="1084"/>
      </w:tblGrid>
      <w:tr>
        <w:tblPrEx>
          <w:tblLayout w:type="fixed"/>
          <w:tblCellMar>
            <w:top w:w="0" w:type="dxa"/>
            <w:left w:w="0" w:type="dxa"/>
            <w:bottom w:w="0" w:type="dxa"/>
            <w:right w:w="0" w:type="dxa"/>
          </w:tblCellMar>
        </w:tblPrEx>
        <w:trPr>
          <w:trHeight w:val="540" w:hRule="atLeast"/>
        </w:trPr>
        <w:tc>
          <w:tcPr>
            <w:tcW w:w="13988" w:type="dxa"/>
            <w:gridSpan w:val="12"/>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44"/>
                <w:szCs w:val="44"/>
                <w:lang w:val="en-US" w:eastAsia="zh-CN" w:bidi="ar"/>
              </w:rPr>
              <w:t>2019年</w:t>
            </w:r>
            <w:r>
              <w:rPr>
                <w:rFonts w:hint="eastAsia" w:ascii="宋体" w:hAnsi="宋体" w:cs="宋体"/>
                <w:color w:val="000000"/>
                <w:kern w:val="0"/>
                <w:sz w:val="44"/>
                <w:szCs w:val="44"/>
                <w:lang w:bidi="ar"/>
              </w:rPr>
              <w:t>一般公共预算财政拨款“三公”经费支出决算表</w:t>
            </w:r>
          </w:p>
        </w:tc>
      </w:tr>
      <w:tr>
        <w:tblPrEx>
          <w:tblLayout w:type="fixed"/>
          <w:tblCellMar>
            <w:top w:w="0" w:type="dxa"/>
            <w:left w:w="0" w:type="dxa"/>
            <w:bottom w:w="0" w:type="dxa"/>
            <w:right w:w="0" w:type="dxa"/>
          </w:tblCellMar>
        </w:tblPrEx>
        <w:trPr>
          <w:trHeight w:val="255" w:hRule="atLeast"/>
        </w:trPr>
        <w:tc>
          <w:tcPr>
            <w:tcW w:w="149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2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9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84"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255" w:hRule="atLeast"/>
        </w:trPr>
        <w:tc>
          <w:tcPr>
            <w:tcW w:w="7422" w:type="dxa"/>
            <w:gridSpan w:val="6"/>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6566" w:type="dxa"/>
            <w:gridSpan w:val="6"/>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7422"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6566"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Layout w:type="fixed"/>
          <w:tblCellMar>
            <w:top w:w="0" w:type="dxa"/>
            <w:left w:w="0" w:type="dxa"/>
            <w:bottom w:w="0" w:type="dxa"/>
            <w:right w:w="0" w:type="dxa"/>
          </w:tblCellMar>
        </w:tblPrEx>
        <w:trPr>
          <w:trHeight w:val="308" w:hRule="atLeast"/>
        </w:trPr>
        <w:tc>
          <w:tcPr>
            <w:tcW w:w="1497"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15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222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25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c>
          <w:tcPr>
            <w:tcW w:w="16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2467"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08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r>
      <w:tr>
        <w:tblPrEx>
          <w:tblLayout w:type="fixed"/>
          <w:tblCellMar>
            <w:top w:w="0" w:type="dxa"/>
            <w:left w:w="0" w:type="dxa"/>
            <w:bottom w:w="0" w:type="dxa"/>
            <w:right w:w="0" w:type="dxa"/>
          </w:tblCellMar>
        </w:tblPrEx>
        <w:trPr>
          <w:trHeight w:val="615" w:hRule="atLeast"/>
        </w:trPr>
        <w:tc>
          <w:tcPr>
            <w:tcW w:w="1497"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15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6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25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6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8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9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6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08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1497"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1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6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25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6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8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9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6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0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Layout w:type="fixed"/>
          <w:tblCellMar>
            <w:top w:w="0" w:type="dxa"/>
            <w:left w:w="0" w:type="dxa"/>
            <w:bottom w:w="0" w:type="dxa"/>
            <w:right w:w="0" w:type="dxa"/>
          </w:tblCellMar>
        </w:tblPrEx>
        <w:trPr>
          <w:trHeight w:val="308" w:hRule="atLeast"/>
        </w:trPr>
        <w:tc>
          <w:tcPr>
            <w:tcW w:w="149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1</w:t>
            </w:r>
          </w:p>
        </w:tc>
        <w:tc>
          <w:tcPr>
            <w:tcW w:w="11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72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6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25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1</w:t>
            </w:r>
          </w:p>
        </w:tc>
        <w:tc>
          <w:tcPr>
            <w:tcW w:w="16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13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8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91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69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r>
      <w:tr>
        <w:tblPrEx>
          <w:tblLayout w:type="fixed"/>
          <w:tblCellMar>
            <w:top w:w="0" w:type="dxa"/>
            <w:left w:w="0" w:type="dxa"/>
            <w:bottom w:w="0" w:type="dxa"/>
            <w:right w:w="0" w:type="dxa"/>
          </w:tblCellMar>
        </w:tblPrEx>
        <w:trPr>
          <w:trHeight w:val="615" w:hRule="atLeast"/>
        </w:trPr>
        <w:tc>
          <w:tcPr>
            <w:tcW w:w="13988"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rPr>
          <w:rFonts w:hint="eastAsia"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12"/>
        <w:tblW w:w="11952" w:type="dxa"/>
        <w:tblInd w:w="0" w:type="dxa"/>
        <w:tblLayout w:type="fixed"/>
        <w:tblCellMar>
          <w:top w:w="0" w:type="dxa"/>
          <w:left w:w="0" w:type="dxa"/>
          <w:bottom w:w="0" w:type="dxa"/>
          <w:right w:w="0" w:type="dxa"/>
        </w:tblCellMar>
      </w:tblPr>
      <w:tblGrid>
        <w:gridCol w:w="4630"/>
        <w:gridCol w:w="36"/>
        <w:gridCol w:w="36"/>
        <w:gridCol w:w="910"/>
        <w:gridCol w:w="1570"/>
        <w:gridCol w:w="910"/>
        <w:gridCol w:w="470"/>
        <w:gridCol w:w="910"/>
        <w:gridCol w:w="910"/>
        <w:gridCol w:w="1570"/>
      </w:tblGrid>
      <w:tr>
        <w:tblPrEx>
          <w:tblLayout w:type="fixed"/>
          <w:tblCellMar>
            <w:top w:w="0" w:type="dxa"/>
            <w:left w:w="0" w:type="dxa"/>
            <w:bottom w:w="0" w:type="dxa"/>
            <w:right w:w="0" w:type="dxa"/>
          </w:tblCellMar>
        </w:tblPrEx>
        <w:trPr>
          <w:trHeight w:val="390" w:hRule="atLeast"/>
        </w:trPr>
        <w:tc>
          <w:tcPr>
            <w:tcW w:w="11952" w:type="dxa"/>
            <w:gridSpan w:val="10"/>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lang w:val="en-US" w:eastAsia="zh-CN" w:bidi="ar"/>
              </w:rPr>
              <w:t>2019年</w:t>
            </w:r>
            <w:bookmarkStart w:id="0" w:name="_GoBack"/>
            <w:bookmarkEnd w:id="0"/>
            <w:r>
              <w:rPr>
                <w:rFonts w:hint="eastAsia" w:ascii="宋体" w:hAnsi="宋体" w:cs="宋体"/>
                <w:color w:val="000000"/>
                <w:kern w:val="0"/>
                <w:sz w:val="30"/>
                <w:szCs w:val="30"/>
                <w:lang w:bidi="ar"/>
              </w:rPr>
              <w:t>政府性基金预算财政拨款收入支出决算表</w:t>
            </w:r>
          </w:p>
        </w:tc>
      </w:tr>
      <w:tr>
        <w:tblPrEx>
          <w:tblLayout w:type="fixed"/>
          <w:tblCellMar>
            <w:top w:w="0" w:type="dxa"/>
            <w:left w:w="0" w:type="dxa"/>
            <w:bottom w:w="0" w:type="dxa"/>
            <w:right w:w="0" w:type="dxa"/>
          </w:tblCellMar>
        </w:tblPrEx>
        <w:trPr>
          <w:trHeight w:val="255" w:hRule="atLeast"/>
        </w:trPr>
        <w:tc>
          <w:tcPr>
            <w:tcW w:w="463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trPr>
        <w:tc>
          <w:tcPr>
            <w:tcW w:w="4630"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部门：新乡经济技术开发区管理委员会</w:t>
            </w:r>
            <w:r>
              <w:rPr>
                <w:rFonts w:hint="eastAsia" w:ascii="宋体" w:hAnsi="宋体" w:cs="宋体"/>
                <w:color w:val="000000"/>
                <w:kern w:val="0"/>
                <w:sz w:val="20"/>
                <w:szCs w:val="20"/>
                <w:lang w:eastAsia="zh-CN" w:bidi="ar"/>
              </w:rPr>
              <w:t>公共服务中心</w:t>
            </w: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0"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w:t>
            </w:r>
            <w:r>
              <w:rPr>
                <w:rFonts w:hint="eastAsia" w:ascii="宋体" w:hAnsi="宋体" w:cs="宋体"/>
                <w:color w:val="000000"/>
                <w:kern w:val="0"/>
                <w:sz w:val="20"/>
                <w:szCs w:val="20"/>
                <w:lang w:eastAsia="zh-CN" w:bidi="ar"/>
              </w:rPr>
              <w:t>万</w:t>
            </w:r>
            <w:r>
              <w:rPr>
                <w:rFonts w:hint="eastAsia" w:ascii="宋体" w:hAnsi="宋体" w:cs="宋体"/>
                <w:color w:val="000000"/>
                <w:kern w:val="0"/>
                <w:sz w:val="20"/>
                <w:szCs w:val="20"/>
                <w:lang w:bidi="ar"/>
              </w:rPr>
              <w:t>元</w:t>
            </w:r>
          </w:p>
        </w:tc>
      </w:tr>
      <w:tr>
        <w:tblPrEx>
          <w:tblLayout w:type="fixed"/>
          <w:tblCellMar>
            <w:top w:w="0" w:type="dxa"/>
            <w:left w:w="0" w:type="dxa"/>
            <w:bottom w:w="0" w:type="dxa"/>
            <w:right w:w="0" w:type="dxa"/>
          </w:tblCellMar>
        </w:tblPrEx>
        <w:trPr>
          <w:trHeight w:val="308" w:hRule="atLeast"/>
        </w:trPr>
        <w:tc>
          <w:tcPr>
            <w:tcW w:w="5612"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5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91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29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15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trPr>
        <w:tc>
          <w:tcPr>
            <w:tcW w:w="47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9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12" w:hRule="atLeast"/>
        </w:trPr>
        <w:tc>
          <w:tcPr>
            <w:tcW w:w="47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4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c>
          <w:tcPr>
            <w:tcW w:w="15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5612"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9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4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9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trPr>
        <w:tc>
          <w:tcPr>
            <w:tcW w:w="5612"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b/>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470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4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91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c>
          <w:tcPr>
            <w:tcW w:w="1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2"/>
              </w:rPr>
            </w:pPr>
          </w:p>
        </w:tc>
      </w:tr>
      <w:tr>
        <w:tblPrEx>
          <w:tblLayout w:type="fixed"/>
          <w:tblCellMar>
            <w:top w:w="0" w:type="dxa"/>
            <w:left w:w="0" w:type="dxa"/>
            <w:bottom w:w="0" w:type="dxa"/>
            <w:right w:w="0" w:type="dxa"/>
          </w:tblCellMar>
        </w:tblPrEx>
        <w:trPr>
          <w:trHeight w:val="308" w:hRule="atLeast"/>
        </w:trPr>
        <w:tc>
          <w:tcPr>
            <w:tcW w:w="11952"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注：本表反映部门本年度政府性基金预算财政拨款收入、支出及结转和结余情况。</w:t>
            </w:r>
          </w:p>
        </w:tc>
      </w:tr>
    </w:tbl>
    <w:p>
      <w:pPr>
        <w:widowControl/>
        <w:spacing w:line="590" w:lineRule="exact"/>
        <w:ind w:firstLine="640" w:firstLineChars="200"/>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 xml:space="preserve">说明：我部门没有政府性基金收入，也没有使用政府性基金安排的支出，故本表无数据。 </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kern w:val="2"/>
          <w:sz w:val="32"/>
          <w:szCs w:val="32"/>
          <w:lang w:val="en-US" w:eastAsia="zh-CN" w:bidi="ar-SA"/>
        </w:rPr>
        <w:t>2019年度收、支总计均为 2633.57万元。与上年度相比，收、支总计各增加1193.91万元，增长82.93 %。</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rPr>
        <w:t>行政服务中心建设及运营经费。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2178.03万元，其中：财政拨款收入2178.03万元，占100%；上级补助收入0.00万元，占0.00%；事业收入0.00万元，占0.00%；经营收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2019年度支出合计2580.30万元，其中：基本支出</w:t>
      </w:r>
      <w:r>
        <w:rPr>
          <w:rFonts w:hint="eastAsia" w:ascii="仿宋_GB2312" w:hAnsi="仿宋_GB2312" w:eastAsia="仿宋_GB2312" w:cs="仿宋_GB2312"/>
          <w:sz w:val="32"/>
          <w:szCs w:val="32"/>
          <w:lang w:val="en-US" w:eastAsia="zh-CN"/>
        </w:rPr>
        <w:t>298.30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11.56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2282.00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88.44</w:t>
      </w:r>
      <w:r>
        <w:rPr>
          <w:rFonts w:hint="eastAsia" w:ascii="仿宋_GB2312" w:hAnsi="仿宋_GB2312" w:eastAsia="仿宋_GB2312" w:cs="仿宋_GB2312"/>
          <w:sz w:val="32"/>
          <w:szCs w:val="32"/>
        </w:rPr>
        <w:t>%；上缴上级支出0.00万元，占0.00%；经营支出支出0.00万元，占0.00%；对附属单位补助支出支出0.00万元，占0.00%。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2019年度收、支总计均为</w:t>
      </w:r>
      <w:r>
        <w:rPr>
          <w:rFonts w:hint="eastAsia" w:ascii="仿宋_GB2312" w:hAnsi="仿宋_GB2312" w:eastAsia="仿宋_GB2312" w:cs="仿宋_GB2312"/>
          <w:sz w:val="32"/>
          <w:szCs w:val="32"/>
          <w:lang w:val="en-US" w:eastAsia="zh-CN"/>
        </w:rPr>
        <w:t>2633.57</w:t>
      </w:r>
      <w:r>
        <w:rPr>
          <w:rFonts w:hint="eastAsia" w:ascii="仿宋_GB2312" w:hAnsi="仿宋_GB2312" w:eastAsia="仿宋_GB2312" w:cs="仿宋_GB2312"/>
          <w:sz w:val="32"/>
          <w:szCs w:val="32"/>
        </w:rPr>
        <w:t>万元。与上年度相比，收、支总计各增加</w:t>
      </w:r>
      <w:r>
        <w:rPr>
          <w:rFonts w:hint="eastAsia" w:ascii="仿宋_GB2312" w:hAnsi="仿宋_GB2312" w:eastAsia="仿宋_GB2312" w:cs="仿宋_GB2312"/>
          <w:sz w:val="32"/>
          <w:szCs w:val="32"/>
          <w:lang w:val="en-US" w:eastAsia="zh-CN"/>
        </w:rPr>
        <w:t>1193.91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82.93</w:t>
      </w:r>
      <w:r>
        <w:rPr>
          <w:rFonts w:hint="eastAsia" w:ascii="仿宋_GB2312" w:hAnsi="仿宋_GB2312" w:eastAsia="仿宋_GB2312" w:cs="仿宋_GB2312"/>
          <w:sz w:val="32"/>
          <w:szCs w:val="32"/>
        </w:rPr>
        <w:t>%。主要原因是行政服务中心建设经费预算增加。</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2019年度一般公共预算财政拨款支出2580.30万元，占本年支出合计的100%。与上年度相比，一般公共预算财政拨款支出增加1140.64万元，增长51.29%。主要原因是增加行政服务中心建设经费支出。</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2019年度一般公共预算财政拨款支出2580.30万元，主要用于以下方面：一般公共服务（类）支出2567.46万元，占99.5%；社会保障和就业（类）支出7.14万元，占0.27%；医疗卫生与计划生育（类）支出5.7万元，占0.23%。</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2019年度一般公共预算财政拨款支出年初预算为2332.65万元，支出决算为2580.30万元，完成年初预算的111%。其中：</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政府办公厅（室）</w:t>
      </w:r>
      <w:r>
        <w:rPr>
          <w:rFonts w:hint="eastAsia" w:ascii="仿宋_GB2312" w:hAnsi="仿宋_GB2312" w:eastAsia="仿宋_GB2312" w:cs="仿宋_GB2312"/>
          <w:b/>
          <w:bCs/>
          <w:color w:val="auto"/>
          <w:sz w:val="32"/>
          <w:szCs w:val="32"/>
        </w:rPr>
        <w:t>及相关机构事务</w:t>
      </w:r>
      <w:r>
        <w:rPr>
          <w:rFonts w:hint="eastAsia" w:ascii="仿宋_GB2312" w:hAnsi="仿宋_GB2312" w:eastAsia="仿宋_GB2312" w:cs="仿宋_GB2312"/>
          <w:b/>
          <w:bCs/>
          <w:color w:val="auto"/>
          <w:sz w:val="32"/>
          <w:szCs w:val="32"/>
          <w:lang w:eastAsia="zh-CN"/>
        </w:rPr>
        <w:t>（款）行政运行</w:t>
      </w:r>
      <w:r>
        <w:rPr>
          <w:rFonts w:hint="eastAsia" w:ascii="仿宋_GB2312" w:hAnsi="仿宋_GB2312" w:eastAsia="仿宋_GB2312" w:cs="仿宋_GB2312"/>
          <w:b/>
          <w:bCs/>
          <w:color w:val="auto"/>
          <w:sz w:val="32"/>
          <w:szCs w:val="32"/>
        </w:rPr>
        <w:t>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274.02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214.15</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78.15</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机构人员调整，相关经费支出减少</w:t>
      </w:r>
      <w:r>
        <w:rPr>
          <w:rFonts w:hint="eastAsia" w:ascii="仿宋_GB2312" w:hAnsi="仿宋_GB2312" w:eastAsia="仿宋_GB2312" w:cs="仿宋_GB2312"/>
          <w:color w:val="auto"/>
          <w:sz w:val="32"/>
          <w:szCs w:val="32"/>
        </w:rPr>
        <w:t>。</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政府办公厅（室）</w:t>
      </w:r>
      <w:r>
        <w:rPr>
          <w:rFonts w:hint="eastAsia" w:ascii="仿宋_GB2312" w:hAnsi="仿宋_GB2312" w:eastAsia="仿宋_GB2312" w:cs="仿宋_GB2312"/>
          <w:b/>
          <w:bCs/>
          <w:color w:val="auto"/>
          <w:sz w:val="32"/>
          <w:szCs w:val="32"/>
        </w:rPr>
        <w:t>及相关机构事务</w:t>
      </w:r>
      <w:r>
        <w:rPr>
          <w:rFonts w:hint="eastAsia" w:ascii="仿宋_GB2312" w:hAnsi="仿宋_GB2312" w:eastAsia="仿宋_GB2312" w:cs="仿宋_GB2312"/>
          <w:b/>
          <w:bCs/>
          <w:color w:val="auto"/>
          <w:sz w:val="32"/>
          <w:szCs w:val="32"/>
          <w:lang w:eastAsia="zh-CN"/>
        </w:rPr>
        <w:t>（款）机关服务支出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214.15</w:t>
      </w:r>
      <w:r>
        <w:rPr>
          <w:rFonts w:hint="eastAsia" w:ascii="仿宋_GB2312" w:hAnsi="仿宋_GB2312" w:eastAsia="仿宋_GB2312" w:cs="仿宋_GB2312"/>
          <w:color w:val="auto"/>
          <w:sz w:val="32"/>
          <w:szCs w:val="32"/>
        </w:rPr>
        <w:t>万元。决算数与年初预算数存在差异的主要原因是</w:t>
      </w:r>
      <w:r>
        <w:rPr>
          <w:rFonts w:hint="eastAsia" w:ascii="仿宋_GB2312" w:hAnsi="仿宋_GB2312" w:eastAsia="仿宋_GB2312" w:cs="仿宋_GB2312"/>
          <w:color w:val="auto"/>
          <w:sz w:val="32"/>
          <w:szCs w:val="32"/>
          <w:highlight w:val="none"/>
          <w:lang w:val="en-US" w:eastAsia="zh-CN"/>
        </w:rPr>
        <w:t>支出项目名称调整</w:t>
      </w:r>
      <w:r>
        <w:rPr>
          <w:rFonts w:hint="eastAsia" w:ascii="仿宋_GB2312" w:hAnsi="仿宋_GB2312" w:eastAsia="仿宋_GB2312" w:cs="仿宋_GB2312"/>
          <w:color w:val="auto"/>
          <w:sz w:val="32"/>
          <w:szCs w:val="32"/>
        </w:rPr>
        <w:t>。</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政府办公厅（室）</w:t>
      </w:r>
      <w:r>
        <w:rPr>
          <w:rFonts w:hint="eastAsia" w:ascii="仿宋_GB2312" w:hAnsi="仿宋_GB2312" w:eastAsia="仿宋_GB2312" w:cs="仿宋_GB2312"/>
          <w:b/>
          <w:bCs/>
          <w:color w:val="auto"/>
          <w:sz w:val="32"/>
          <w:szCs w:val="32"/>
        </w:rPr>
        <w:t>及相关机构事务</w:t>
      </w:r>
      <w:r>
        <w:rPr>
          <w:rFonts w:hint="eastAsia" w:ascii="仿宋_GB2312" w:hAnsi="仿宋_GB2312" w:eastAsia="仿宋_GB2312" w:cs="仿宋_GB2312"/>
          <w:b/>
          <w:bCs/>
          <w:color w:val="auto"/>
          <w:sz w:val="32"/>
          <w:szCs w:val="32"/>
          <w:lang w:eastAsia="zh-CN"/>
        </w:rPr>
        <w:t>（款）专项服务支出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174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173.13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99.50</w:t>
      </w:r>
      <w:r>
        <w:rPr>
          <w:rFonts w:hint="eastAsia" w:ascii="仿宋_GB2312" w:hAnsi="仿宋_GB2312" w:eastAsia="仿宋_GB2312" w:cs="仿宋_GB2312"/>
          <w:color w:val="auto"/>
          <w:sz w:val="32"/>
          <w:szCs w:val="32"/>
        </w:rPr>
        <w:t>%。决算数与年初预算数存在差异的主要原因是主要原因是</w:t>
      </w:r>
      <w:r>
        <w:rPr>
          <w:rFonts w:hint="eastAsia" w:ascii="仿宋_GB2312" w:hAnsi="仿宋_GB2312" w:eastAsia="仿宋_GB2312" w:cs="仿宋_GB2312"/>
          <w:color w:val="auto"/>
          <w:sz w:val="32"/>
          <w:szCs w:val="32"/>
          <w:lang w:eastAsia="zh-CN"/>
        </w:rPr>
        <w:t>四舍五入尾数出入</w:t>
      </w:r>
      <w:r>
        <w:rPr>
          <w:rFonts w:hint="eastAsia" w:ascii="仿宋_GB2312" w:hAnsi="仿宋_GB2312" w:eastAsia="仿宋_GB2312" w:cs="仿宋_GB2312"/>
          <w:color w:val="auto"/>
          <w:sz w:val="32"/>
          <w:szCs w:val="32"/>
        </w:rPr>
        <w:t>。</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一般公共服务</w:t>
      </w:r>
      <w:r>
        <w:rPr>
          <w:rFonts w:hint="eastAsia" w:ascii="仿宋_GB2312" w:hAnsi="仿宋_GB2312" w:eastAsia="仿宋_GB2312" w:cs="仿宋_GB2312"/>
          <w:b/>
          <w:bCs/>
          <w:color w:val="auto"/>
          <w:sz w:val="32"/>
          <w:szCs w:val="32"/>
          <w:lang w:eastAsia="zh-CN"/>
        </w:rPr>
        <w:t>支出</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政府办公厅（室）</w:t>
      </w:r>
      <w:r>
        <w:rPr>
          <w:rFonts w:hint="eastAsia" w:ascii="仿宋_GB2312" w:hAnsi="仿宋_GB2312" w:eastAsia="仿宋_GB2312" w:cs="仿宋_GB2312"/>
          <w:b/>
          <w:bCs/>
          <w:color w:val="auto"/>
          <w:sz w:val="32"/>
          <w:szCs w:val="32"/>
        </w:rPr>
        <w:t>及相关机构事务</w:t>
      </w:r>
      <w:r>
        <w:rPr>
          <w:rFonts w:hint="eastAsia" w:ascii="仿宋_GB2312" w:hAnsi="仿宋_GB2312" w:eastAsia="仿宋_GB2312" w:cs="仿宋_GB2312"/>
          <w:b/>
          <w:bCs/>
          <w:color w:val="auto"/>
          <w:sz w:val="32"/>
          <w:szCs w:val="32"/>
          <w:lang w:eastAsia="zh-CN"/>
        </w:rPr>
        <w:t>（款）其他政府办公厅（室）及相关机构事务支出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1870.11</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1799.71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96.24</w:t>
      </w:r>
      <w:r>
        <w:rPr>
          <w:rFonts w:hint="eastAsia" w:ascii="仿宋_GB2312" w:hAnsi="仿宋_GB2312" w:eastAsia="仿宋_GB2312" w:cs="仿宋_GB2312"/>
          <w:color w:val="auto"/>
          <w:sz w:val="32"/>
          <w:szCs w:val="32"/>
        </w:rPr>
        <w:t>%。决算数与年初预算数存在差异的主要原因是行政服务中心建设及运营经费。</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社会保障和就业支出（类）行政事业单位离退休（款）机关事业单位基本养老保险缴费支出（项）。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7.74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6.94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89.66</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机构人员调整，相关经费支出减少</w:t>
      </w:r>
      <w:r>
        <w:rPr>
          <w:rFonts w:hint="eastAsia" w:ascii="仿宋_GB2312" w:hAnsi="仿宋_GB2312" w:eastAsia="仿宋_GB2312" w:cs="仿宋_GB2312"/>
          <w:color w:val="auto"/>
          <w:sz w:val="32"/>
          <w:szCs w:val="32"/>
        </w:rPr>
        <w:t>。</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社会保障和就业支出（类）其他社会保障和就业支出（款）其他社会保障和就业支出（项）。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0.22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0.20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90.91</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机构人员调整，相关经费支出减少</w:t>
      </w:r>
      <w:r>
        <w:rPr>
          <w:rFonts w:hint="eastAsia" w:ascii="仿宋_GB2312" w:hAnsi="仿宋_GB2312" w:eastAsia="仿宋_GB2312" w:cs="仿宋_GB2312"/>
          <w:color w:val="auto"/>
          <w:sz w:val="32"/>
          <w:szCs w:val="32"/>
        </w:rPr>
        <w:t>。</w:t>
      </w:r>
    </w:p>
    <w:p>
      <w:pPr>
        <w:widowControl/>
        <w:numPr>
          <w:ilvl w:val="0"/>
          <w:numId w:val="2"/>
        </w:num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卫生健康支出（类）行政事业单位医疗（款）行政事业单位医疗（项）。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3.28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2.88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87.80</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机构人员调整，相关经费支出减少</w:t>
      </w:r>
      <w:r>
        <w:rPr>
          <w:rFonts w:hint="eastAsia" w:ascii="仿宋_GB2312" w:hAnsi="仿宋_GB2312" w:eastAsia="仿宋_GB2312" w:cs="仿宋_GB2312"/>
          <w:color w:val="auto"/>
          <w:sz w:val="32"/>
          <w:szCs w:val="32"/>
        </w:rPr>
        <w:t>。</w:t>
      </w:r>
    </w:p>
    <w:p>
      <w:pPr>
        <w:widowControl/>
        <w:numPr>
          <w:ilvl w:val="0"/>
          <w:numId w:val="2"/>
        </w:num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卫生健康支出（类）行政事业单位医疗（款）公务员医疗补助（项）。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3.28</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2.83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86.28</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highlight w:val="none"/>
          <w:lang w:val="en-US" w:eastAsia="zh-CN"/>
        </w:rPr>
        <w:t>机构人员调整，相关经费支出减少</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w:t>
      </w:r>
      <w:r>
        <w:rPr>
          <w:rFonts w:hint="eastAsia" w:ascii="仿宋_GB2312" w:hAnsi="仿宋_GB2312" w:eastAsia="仿宋_GB2312" w:cs="仿宋_GB2312"/>
          <w:sz w:val="32"/>
          <w:szCs w:val="32"/>
          <w:lang w:val="en-US" w:eastAsia="zh-CN"/>
        </w:rPr>
        <w:t>298.30</w:t>
      </w:r>
      <w:r>
        <w:rPr>
          <w:rFonts w:hint="eastAsia" w:ascii="仿宋_GB2312" w:hAnsi="仿宋_GB2312" w:eastAsia="仿宋_GB2312" w:cs="仿宋_GB2312"/>
          <w:sz w:val="32"/>
          <w:szCs w:val="32"/>
        </w:rPr>
        <w:t>万元。其中：人员经费234.49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63.81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2019年度“三公”经费财政拨款支出预算为1.00万元，支出决算为0万元，完成预算的0.00%。</w:t>
      </w:r>
      <w:r>
        <w:rPr>
          <w:rFonts w:hint="eastAsia" w:ascii="仿宋_GB2312" w:eastAsia="仿宋_GB2312"/>
          <w:sz w:val="32"/>
          <w:szCs w:val="32"/>
        </w:rPr>
        <w:t>2019年度“三公”经费支出决算数与预算数存在差异的主要原因是严格落实中央八项规定精神，降低三公经费支出，厉行勤俭节约。</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0.00万元，完成预算的0.00%，占0.00%；公务用车购置及运行费支出决算0.00万元，完成预算的0.00%，占0.00%；公务接待费支出决算0.00万元，完成预算的0.00%，占0.00%。具体情况如下：</w:t>
      </w:r>
    </w:p>
    <w:p>
      <w:pPr>
        <w:widowControl/>
        <w:numPr>
          <w:ilvl w:val="0"/>
          <w:numId w:val="3"/>
        </w:numPr>
        <w:spacing w:line="590" w:lineRule="exact"/>
        <w:ind w:firstLine="643"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年初预算为0.00万元，支出决算为0.00万元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numPr>
          <w:ilvl w:val="0"/>
          <w:numId w:val="0"/>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u w:val="none"/>
        </w:rPr>
        <w:t>年初</w:t>
      </w:r>
      <w:r>
        <w:rPr>
          <w:rFonts w:hint="eastAsia" w:ascii="仿宋_GB2312" w:hAnsi="仿宋_GB2312" w:eastAsia="仿宋_GB2312" w:cs="仿宋_GB2312"/>
          <w:sz w:val="32"/>
          <w:szCs w:val="32"/>
        </w:rPr>
        <w:t>预算0.00万元，支出决算为0.00万元，完成年初预算的0.00%。</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hint="eastAsia" w:ascii="仿宋_GB2312" w:hAnsi="仿宋_GB2312" w:eastAsia="仿宋_GB2312" w:cs="仿宋_GB2312"/>
          <w:color w:val="auto"/>
          <w:sz w:val="32"/>
          <w:szCs w:val="32"/>
          <w:highlight w:val="none"/>
          <w:lang w:val="en-US" w:eastAsia="zh-CN"/>
        </w:rPr>
        <w:t>2019年期末，部门开支财政拨款的公务用车保有量为0辆。</w:t>
      </w:r>
    </w:p>
    <w:p>
      <w:pPr>
        <w:widowControl/>
        <w:numPr>
          <w:ilvl w:val="0"/>
          <w:numId w:val="0"/>
        </w:numPr>
        <w:spacing w:line="59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b w:val="0"/>
          <w:bCs w:val="0"/>
          <w:sz w:val="32"/>
          <w:szCs w:val="32"/>
        </w:rPr>
        <w:t>年初预算为1.00万元，支出决算为0.00万元。完成年初预算的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%。决算数与年初预算数存在差异的主要原因是严格落实中央八项规定精神，降低三公经费支出，厉行勤俭节约。其中：外宾接待支出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万元。2019年共接待国（境）外来访团组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个、来访外宾</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人次（不包括陪同人员）。</w:t>
      </w:r>
    </w:p>
    <w:p>
      <w:pPr>
        <w:widowControl/>
        <w:spacing w:line="59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其他国内公务接待支出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万元。2019年共接待国内来访团组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个、来宾</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人次</w:t>
      </w:r>
      <w:r>
        <w:rPr>
          <w:rFonts w:hint="eastAsia" w:ascii="仿宋_GB2312" w:hAnsi="仿宋_GB2312" w:eastAsia="仿宋_GB2312" w:cs="仿宋_GB2312"/>
          <w:b w:val="0"/>
          <w:bCs w:val="0"/>
          <w:sz w:val="32"/>
          <w:szCs w:val="32"/>
          <w:lang w:eastAsia="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公共服务中心</w:t>
      </w:r>
      <w:r>
        <w:rPr>
          <w:rFonts w:hint="eastAsia" w:ascii="仿宋_GB2312" w:hAnsi="仿宋_GB2312" w:eastAsia="仿宋_GB2312" w:cs="仿宋_GB2312"/>
          <w:kern w:val="2"/>
          <w:sz w:val="32"/>
          <w:szCs w:val="32"/>
          <w:lang w:val="en-US" w:eastAsia="zh-CN" w:bidi="ar-SA"/>
        </w:rPr>
        <w:t>2019年度收、支总计均为 2633.57万元</w:t>
      </w:r>
      <w:r>
        <w:rPr>
          <w:rFonts w:hint="eastAsia" w:ascii="仿宋_GB2312" w:hAnsi="仿宋_GB2312" w:eastAsia="仿宋_GB2312" w:cs="仿宋_GB2312"/>
          <w:sz w:val="32"/>
          <w:szCs w:val="32"/>
        </w:rPr>
        <w:t>。完成全年预算支出的</w:t>
      </w:r>
      <w:r>
        <w:rPr>
          <w:rFonts w:hint="eastAsia" w:ascii="仿宋_GB2312" w:hAnsi="仿宋_GB2312" w:eastAsia="仿宋_GB2312" w:cs="仿宋_GB2312"/>
          <w:sz w:val="32"/>
          <w:szCs w:val="32"/>
          <w:lang w:val="en-US" w:eastAsia="zh-CN"/>
        </w:rPr>
        <w:t>113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，涉及</w:t>
      </w:r>
      <w:r>
        <w:rPr>
          <w:rFonts w:hint="eastAsia" w:ascii="仿宋_GB2312" w:hAnsi="仿宋_GB2312" w:eastAsia="仿宋_GB2312" w:cs="仿宋_GB2312"/>
          <w:sz w:val="32"/>
          <w:szCs w:val="32"/>
          <w:lang w:val="en-US" w:eastAsia="zh-CN"/>
        </w:rPr>
        <w:t>15个项目。</w:t>
      </w:r>
      <w:r>
        <w:rPr>
          <w:rFonts w:hint="eastAsia" w:ascii="仿宋_GB2312" w:hAnsi="仿宋_GB2312" w:eastAsia="仿宋_GB2312" w:cs="仿宋_GB2312"/>
          <w:sz w:val="32"/>
          <w:szCs w:val="32"/>
        </w:rPr>
        <w:t>其主要原因是</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rPr>
        <w:t>行政服务中心建设及运营经费。</w:t>
      </w:r>
    </w:p>
    <w:p>
      <w:pPr>
        <w:widowControl/>
        <w:numPr>
          <w:ilvl w:val="0"/>
          <w:numId w:val="4"/>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color w:val="auto"/>
          <w:sz w:val="32"/>
          <w:szCs w:val="32"/>
          <w:highlight w:val="none"/>
          <w:lang w:val="en-US" w:eastAsia="zh-CN"/>
        </w:rPr>
        <w:t>部门决算中项目绩效自评结果</w:t>
      </w:r>
      <w:r>
        <w:rPr>
          <w:rFonts w:hint="eastAsia" w:ascii="楷体_GB2312" w:hAnsi="楷体_GB2312" w:eastAsia="楷体_GB2312" w:cs="楷体_GB2312"/>
          <w:b/>
          <w:bCs/>
          <w:sz w:val="32"/>
          <w:szCs w:val="32"/>
        </w:rPr>
        <w:t>。</w:t>
      </w:r>
    </w:p>
    <w:p>
      <w:pPr>
        <w:widowControl/>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我单位对绩效自评工作始终高度重视。</w:t>
      </w:r>
      <w:r>
        <w:rPr>
          <w:rFonts w:hint="eastAsia" w:ascii="仿宋_GB2312" w:eastAsia="仿宋_GB2312"/>
          <w:sz w:val="32"/>
          <w:szCs w:val="32"/>
          <w:lang w:eastAsia="zh-CN"/>
        </w:rPr>
        <w:t>安排</w:t>
      </w:r>
      <w:r>
        <w:rPr>
          <w:rFonts w:hint="eastAsia" w:ascii="仿宋_GB2312" w:eastAsia="仿宋_GB2312"/>
          <w:sz w:val="32"/>
          <w:szCs w:val="32"/>
        </w:rPr>
        <w:t>专人负责，确保各项任务指标落实到位</w:t>
      </w:r>
      <w:r>
        <w:rPr>
          <w:rFonts w:hint="eastAsia" w:ascii="仿宋_GB2312" w:hAnsi="仿宋_GB2312" w:eastAsia="仿宋_GB2312" w:cs="仿宋_GB2312"/>
          <w:sz w:val="32"/>
          <w:szCs w:val="32"/>
        </w:rPr>
        <w:t>。</w:t>
      </w:r>
      <w:r>
        <w:rPr>
          <w:rFonts w:hint="eastAsia" w:ascii="仿宋_GB2312" w:eastAsia="仿宋_GB2312"/>
          <w:sz w:val="32"/>
          <w:szCs w:val="32"/>
        </w:rPr>
        <w:t>由各业务科室进行资料收集及开展自评，保证了机关自评工作的顺利完成。</w:t>
      </w:r>
    </w:p>
    <w:p>
      <w:pPr>
        <w:widowControl/>
        <w:numPr>
          <w:ilvl w:val="0"/>
          <w:numId w:val="4"/>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以部门为主体开展的重点绩效评价结果。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rPr>
      </w:pPr>
      <w:r>
        <w:rPr>
          <w:rFonts w:hint="eastAsia" w:ascii="仿宋_GB2312" w:eastAsia="仿宋_GB2312"/>
          <w:sz w:val="32"/>
          <w:szCs w:val="32"/>
        </w:rPr>
        <w:t>严格执行“收支两条线”的财务管理规定，严格执行主要领导签批制度，严把财务程序，要求财务人员对于不合理、不规范的票据坚决不予入账。</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2019年度政府性基金预算财政拨款支出年初预算为0.00万元，支出决算为0.00万元，完成年初预算的0.00%。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2019年度机关运行经费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初预算为362.36万元，支出决算为63.81万元，完成年初预算的17.6%。决算数与年初预算数存在差异的主要原因一是电费及其他商品和服务支出在项目中列支；二是按照“八项规定”精神缩减三公经费支出。</w:t>
      </w:r>
    </w:p>
    <w:p>
      <w:pPr>
        <w:widowControl/>
        <w:spacing w:line="590" w:lineRule="exact"/>
        <w:ind w:firstLine="640" w:firstLineChars="200"/>
        <w:outlineLvl w:val="1"/>
        <w:rPr>
          <w:rFonts w:hint="eastAsia" w:ascii="黑体" w:hAnsi="黑体" w:eastAsia="黑体" w:cs="黑体"/>
          <w:sz w:val="32"/>
          <w:szCs w:val="32"/>
          <w:highlight w:val="red"/>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982.14万元，其中：政府采购货物支出756.97万元、政府采购工程支出0万元、政府采购服务支出225.17万元。授予中小企业合同金额225.17万元，占政府采购支出总额的22.93%，其中：授予小微企业合同金额756.97万元，占政府采购支出总额的77.07%。</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ind w:firstLine="640" w:firstLineChars="200"/>
        <w:jc w:val="left"/>
        <w:rPr>
          <w:rFonts w:hint="eastAsia" w:ascii="黑体" w:hAnsi="宋体" w:eastAsia="黑体" w:cs="宋体"/>
          <w:kern w:val="0"/>
          <w:sz w:val="28"/>
          <w:szCs w:val="28"/>
        </w:rPr>
      </w:pPr>
      <w:r>
        <w:rPr>
          <w:rFonts w:hint="eastAsia" w:ascii="仿宋_GB2312" w:hAnsi="仿宋_GB2312" w:eastAsia="仿宋_GB2312" w:cs="仿宋_GB2312"/>
          <w:sz w:val="32"/>
          <w:szCs w:val="32"/>
        </w:rPr>
        <w:t>2019年期末，我部门共有车辆0辆，单位价值50万元以上通用设备0台（套），单位价值100万元以上专用设备0台（套）。</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w47ye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TYp8IugEAAFcDAAAOAAAAAAAAAAEAIAAAAB4BAABkcnMvZTJvRG9jLnhtbFBLBQYAAAAABgAG&#10;AFkBAABK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ZrQwJ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67EB4E"/>
    <w:multiLevelType w:val="singleLevel"/>
    <w:tmpl w:val="DA67EB4E"/>
    <w:lvl w:ilvl="0" w:tentative="0">
      <w:start w:val="1"/>
      <w:numFmt w:val="decimal"/>
      <w:lvlText w:val="%1."/>
      <w:lvlJc w:val="left"/>
      <w:pPr>
        <w:tabs>
          <w:tab w:val="left" w:pos="312"/>
        </w:tabs>
      </w:pPr>
    </w:lvl>
  </w:abstractNum>
  <w:abstractNum w:abstractNumId="1">
    <w:nsid w:val="EC95D1C2"/>
    <w:multiLevelType w:val="singleLevel"/>
    <w:tmpl w:val="EC95D1C2"/>
    <w:lvl w:ilvl="0" w:tentative="0">
      <w:start w:val="2"/>
      <w:numFmt w:val="chineseCounting"/>
      <w:suff w:val="nothing"/>
      <w:lvlText w:val="（%1）"/>
      <w:lvlJc w:val="left"/>
      <w:rPr>
        <w:rFonts w:hint="eastAsia"/>
      </w:rPr>
    </w:lvl>
  </w:abstractNum>
  <w:abstractNum w:abstractNumId="2">
    <w:nsid w:val="22C89AFD"/>
    <w:multiLevelType w:val="singleLevel"/>
    <w:tmpl w:val="22C89AFD"/>
    <w:lvl w:ilvl="0" w:tentative="0">
      <w:start w:val="1"/>
      <w:numFmt w:val="decimal"/>
      <w:suff w:val="nothing"/>
      <w:lvlText w:val="%1．"/>
      <w:lvlJc w:val="left"/>
    </w:lvl>
  </w:abstractNum>
  <w:abstractNum w:abstractNumId="3">
    <w:nsid w:val="5971BE17"/>
    <w:multiLevelType w:val="singleLevel"/>
    <w:tmpl w:val="5971BE17"/>
    <w:lvl w:ilvl="0" w:tentative="0">
      <w:start w:val="1"/>
      <w:numFmt w:val="chineseCounting"/>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8EF"/>
    <w:rsid w:val="000270E8"/>
    <w:rsid w:val="00057AFD"/>
    <w:rsid w:val="00076410"/>
    <w:rsid w:val="000C073B"/>
    <w:rsid w:val="001003F8"/>
    <w:rsid w:val="00144159"/>
    <w:rsid w:val="00160A6F"/>
    <w:rsid w:val="001718A8"/>
    <w:rsid w:val="00182842"/>
    <w:rsid w:val="001905F2"/>
    <w:rsid w:val="001D61B1"/>
    <w:rsid w:val="001F5040"/>
    <w:rsid w:val="002006EB"/>
    <w:rsid w:val="00260D70"/>
    <w:rsid w:val="00282C7F"/>
    <w:rsid w:val="00287811"/>
    <w:rsid w:val="002B3F94"/>
    <w:rsid w:val="002E6A86"/>
    <w:rsid w:val="00304D04"/>
    <w:rsid w:val="00305B88"/>
    <w:rsid w:val="00315FEB"/>
    <w:rsid w:val="003535EF"/>
    <w:rsid w:val="0042585F"/>
    <w:rsid w:val="00445CAC"/>
    <w:rsid w:val="00472E19"/>
    <w:rsid w:val="00487869"/>
    <w:rsid w:val="004D5275"/>
    <w:rsid w:val="00507364"/>
    <w:rsid w:val="00546F7C"/>
    <w:rsid w:val="005A0C2F"/>
    <w:rsid w:val="005B1AE2"/>
    <w:rsid w:val="005D3D4A"/>
    <w:rsid w:val="006228C4"/>
    <w:rsid w:val="006512DD"/>
    <w:rsid w:val="00656BEF"/>
    <w:rsid w:val="00656D75"/>
    <w:rsid w:val="00657E86"/>
    <w:rsid w:val="00673EF7"/>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72946"/>
    <w:rsid w:val="0088023A"/>
    <w:rsid w:val="008858FB"/>
    <w:rsid w:val="00894B41"/>
    <w:rsid w:val="008B5427"/>
    <w:rsid w:val="00903F6B"/>
    <w:rsid w:val="009173F9"/>
    <w:rsid w:val="00975A04"/>
    <w:rsid w:val="009F546E"/>
    <w:rsid w:val="00A079F0"/>
    <w:rsid w:val="00A57BF7"/>
    <w:rsid w:val="00A83D8A"/>
    <w:rsid w:val="00A93E7D"/>
    <w:rsid w:val="00AA260E"/>
    <w:rsid w:val="00AA44CB"/>
    <w:rsid w:val="00AA67CD"/>
    <w:rsid w:val="00AD1622"/>
    <w:rsid w:val="00AD6761"/>
    <w:rsid w:val="00AE600E"/>
    <w:rsid w:val="00B0083B"/>
    <w:rsid w:val="00B209B8"/>
    <w:rsid w:val="00B249F3"/>
    <w:rsid w:val="00B710DD"/>
    <w:rsid w:val="00BE5A85"/>
    <w:rsid w:val="00BF5718"/>
    <w:rsid w:val="00C3106E"/>
    <w:rsid w:val="00C60609"/>
    <w:rsid w:val="00C95CC1"/>
    <w:rsid w:val="00CA3F44"/>
    <w:rsid w:val="00CE212D"/>
    <w:rsid w:val="00CE4B38"/>
    <w:rsid w:val="00D1321A"/>
    <w:rsid w:val="00D30ADF"/>
    <w:rsid w:val="00D31B61"/>
    <w:rsid w:val="00D6315E"/>
    <w:rsid w:val="00D652C2"/>
    <w:rsid w:val="00D74EE2"/>
    <w:rsid w:val="00D83E19"/>
    <w:rsid w:val="00DA00C9"/>
    <w:rsid w:val="00DB200E"/>
    <w:rsid w:val="00DB65F5"/>
    <w:rsid w:val="00E01C3E"/>
    <w:rsid w:val="00E13099"/>
    <w:rsid w:val="00E4339F"/>
    <w:rsid w:val="00E629EA"/>
    <w:rsid w:val="00E6777C"/>
    <w:rsid w:val="00EB05A3"/>
    <w:rsid w:val="00ED38B7"/>
    <w:rsid w:val="00EE051D"/>
    <w:rsid w:val="00F0131A"/>
    <w:rsid w:val="00F14C17"/>
    <w:rsid w:val="00F17041"/>
    <w:rsid w:val="00F44937"/>
    <w:rsid w:val="00F61A47"/>
    <w:rsid w:val="00F84422"/>
    <w:rsid w:val="00F95455"/>
    <w:rsid w:val="00FA574D"/>
    <w:rsid w:val="00FE7AD9"/>
    <w:rsid w:val="01322275"/>
    <w:rsid w:val="019B717E"/>
    <w:rsid w:val="01DC6F05"/>
    <w:rsid w:val="021D681C"/>
    <w:rsid w:val="02A3489A"/>
    <w:rsid w:val="02CA138D"/>
    <w:rsid w:val="02E238C3"/>
    <w:rsid w:val="033646FC"/>
    <w:rsid w:val="03C75F80"/>
    <w:rsid w:val="042875C7"/>
    <w:rsid w:val="0478364D"/>
    <w:rsid w:val="04AF4BA4"/>
    <w:rsid w:val="050E70CD"/>
    <w:rsid w:val="053D4C0D"/>
    <w:rsid w:val="0557532E"/>
    <w:rsid w:val="0799329C"/>
    <w:rsid w:val="083058B4"/>
    <w:rsid w:val="085732FB"/>
    <w:rsid w:val="086F16A7"/>
    <w:rsid w:val="0A0F7225"/>
    <w:rsid w:val="0A2B7D82"/>
    <w:rsid w:val="0ADC40E9"/>
    <w:rsid w:val="0AE607F4"/>
    <w:rsid w:val="0B451598"/>
    <w:rsid w:val="0BEC73F4"/>
    <w:rsid w:val="0C0B4CE5"/>
    <w:rsid w:val="0C392698"/>
    <w:rsid w:val="0D224EC2"/>
    <w:rsid w:val="0D2B1514"/>
    <w:rsid w:val="0E3328BC"/>
    <w:rsid w:val="10BD36F6"/>
    <w:rsid w:val="11BF0649"/>
    <w:rsid w:val="123E3E08"/>
    <w:rsid w:val="12F66B4A"/>
    <w:rsid w:val="161C2DFF"/>
    <w:rsid w:val="16373578"/>
    <w:rsid w:val="16D3336B"/>
    <w:rsid w:val="17806C36"/>
    <w:rsid w:val="17A74F62"/>
    <w:rsid w:val="18A47774"/>
    <w:rsid w:val="18FB2318"/>
    <w:rsid w:val="19352BDA"/>
    <w:rsid w:val="19C13DCF"/>
    <w:rsid w:val="1B2E6FD8"/>
    <w:rsid w:val="1B877D21"/>
    <w:rsid w:val="1BD350C4"/>
    <w:rsid w:val="1C4319A9"/>
    <w:rsid w:val="1DC93DD5"/>
    <w:rsid w:val="1E4D68A4"/>
    <w:rsid w:val="1E994F4A"/>
    <w:rsid w:val="1EAF0224"/>
    <w:rsid w:val="1ED74E3A"/>
    <w:rsid w:val="1EF0202B"/>
    <w:rsid w:val="1F2230A4"/>
    <w:rsid w:val="20210932"/>
    <w:rsid w:val="202448E0"/>
    <w:rsid w:val="20357C28"/>
    <w:rsid w:val="20BE3E6B"/>
    <w:rsid w:val="21302EEA"/>
    <w:rsid w:val="22126C5B"/>
    <w:rsid w:val="22376FB5"/>
    <w:rsid w:val="223948D0"/>
    <w:rsid w:val="237C0DA4"/>
    <w:rsid w:val="23E152D7"/>
    <w:rsid w:val="255D43C8"/>
    <w:rsid w:val="25FD0CE5"/>
    <w:rsid w:val="26876BDD"/>
    <w:rsid w:val="2714632A"/>
    <w:rsid w:val="27245E25"/>
    <w:rsid w:val="27B0539E"/>
    <w:rsid w:val="29365CF8"/>
    <w:rsid w:val="29397105"/>
    <w:rsid w:val="299469B3"/>
    <w:rsid w:val="29BE69C3"/>
    <w:rsid w:val="2A805789"/>
    <w:rsid w:val="2A96338F"/>
    <w:rsid w:val="2B4A0E52"/>
    <w:rsid w:val="2B801EC5"/>
    <w:rsid w:val="2C975890"/>
    <w:rsid w:val="2DE62E30"/>
    <w:rsid w:val="2DEF21BB"/>
    <w:rsid w:val="2E4A2F05"/>
    <w:rsid w:val="2ECC1061"/>
    <w:rsid w:val="2FA476AD"/>
    <w:rsid w:val="303F7540"/>
    <w:rsid w:val="31DD00BF"/>
    <w:rsid w:val="328B2FA1"/>
    <w:rsid w:val="3293174C"/>
    <w:rsid w:val="32936002"/>
    <w:rsid w:val="32BB38D4"/>
    <w:rsid w:val="32C9376D"/>
    <w:rsid w:val="33457E09"/>
    <w:rsid w:val="33780472"/>
    <w:rsid w:val="33933F43"/>
    <w:rsid w:val="33AF0905"/>
    <w:rsid w:val="347139DF"/>
    <w:rsid w:val="34EB6088"/>
    <w:rsid w:val="355932F4"/>
    <w:rsid w:val="35611882"/>
    <w:rsid w:val="35EB0033"/>
    <w:rsid w:val="36746FC3"/>
    <w:rsid w:val="368763AE"/>
    <w:rsid w:val="37225E0D"/>
    <w:rsid w:val="395D59E7"/>
    <w:rsid w:val="39A93932"/>
    <w:rsid w:val="3A915562"/>
    <w:rsid w:val="3B7265A0"/>
    <w:rsid w:val="3B8D4765"/>
    <w:rsid w:val="3C000DBA"/>
    <w:rsid w:val="3DC045D3"/>
    <w:rsid w:val="3E504FFB"/>
    <w:rsid w:val="3E615CD0"/>
    <w:rsid w:val="3E9C47F6"/>
    <w:rsid w:val="3F83224C"/>
    <w:rsid w:val="3FAB3095"/>
    <w:rsid w:val="3FE45947"/>
    <w:rsid w:val="412253A8"/>
    <w:rsid w:val="41242965"/>
    <w:rsid w:val="42D4120D"/>
    <w:rsid w:val="435671EA"/>
    <w:rsid w:val="43E04581"/>
    <w:rsid w:val="440809E9"/>
    <w:rsid w:val="442407A6"/>
    <w:rsid w:val="44805EA1"/>
    <w:rsid w:val="44D372EB"/>
    <w:rsid w:val="451A1CB3"/>
    <w:rsid w:val="45710696"/>
    <w:rsid w:val="46142B1B"/>
    <w:rsid w:val="46C14AA3"/>
    <w:rsid w:val="46F518DA"/>
    <w:rsid w:val="47E60DD0"/>
    <w:rsid w:val="481C151D"/>
    <w:rsid w:val="482A1360"/>
    <w:rsid w:val="48735039"/>
    <w:rsid w:val="492C684B"/>
    <w:rsid w:val="49500594"/>
    <w:rsid w:val="49E7604E"/>
    <w:rsid w:val="4BF67CDD"/>
    <w:rsid w:val="4D603DD6"/>
    <w:rsid w:val="4EBF010F"/>
    <w:rsid w:val="4EF95324"/>
    <w:rsid w:val="4F471EB0"/>
    <w:rsid w:val="51015B9F"/>
    <w:rsid w:val="51331326"/>
    <w:rsid w:val="51740A7F"/>
    <w:rsid w:val="51A5541E"/>
    <w:rsid w:val="51C96242"/>
    <w:rsid w:val="533F1FF2"/>
    <w:rsid w:val="537F55D7"/>
    <w:rsid w:val="54341889"/>
    <w:rsid w:val="54F46F60"/>
    <w:rsid w:val="55A37BEA"/>
    <w:rsid w:val="569B30FD"/>
    <w:rsid w:val="5784687B"/>
    <w:rsid w:val="57846959"/>
    <w:rsid w:val="578E6A87"/>
    <w:rsid w:val="58907098"/>
    <w:rsid w:val="5A5738FA"/>
    <w:rsid w:val="5AC2203A"/>
    <w:rsid w:val="5B2A4E15"/>
    <w:rsid w:val="5CAC0DC5"/>
    <w:rsid w:val="5CBB3334"/>
    <w:rsid w:val="5D115FAF"/>
    <w:rsid w:val="606F68EA"/>
    <w:rsid w:val="610E6A4F"/>
    <w:rsid w:val="619F2EFE"/>
    <w:rsid w:val="62811722"/>
    <w:rsid w:val="62E75A72"/>
    <w:rsid w:val="63DC186C"/>
    <w:rsid w:val="63F7026C"/>
    <w:rsid w:val="64571880"/>
    <w:rsid w:val="649125B6"/>
    <w:rsid w:val="652F4C1A"/>
    <w:rsid w:val="65DC0E41"/>
    <w:rsid w:val="665D6ACB"/>
    <w:rsid w:val="666D37F1"/>
    <w:rsid w:val="67087D8F"/>
    <w:rsid w:val="671F687E"/>
    <w:rsid w:val="67F415F8"/>
    <w:rsid w:val="684B73E5"/>
    <w:rsid w:val="68925A1E"/>
    <w:rsid w:val="6A047A2A"/>
    <w:rsid w:val="6B9D0B3A"/>
    <w:rsid w:val="6D1D2ABE"/>
    <w:rsid w:val="6F3831C3"/>
    <w:rsid w:val="70417DD1"/>
    <w:rsid w:val="70753482"/>
    <w:rsid w:val="707B522A"/>
    <w:rsid w:val="727662E9"/>
    <w:rsid w:val="73194D05"/>
    <w:rsid w:val="736175F0"/>
    <w:rsid w:val="73A83B0E"/>
    <w:rsid w:val="744D3EF9"/>
    <w:rsid w:val="74794411"/>
    <w:rsid w:val="75867C40"/>
    <w:rsid w:val="76432199"/>
    <w:rsid w:val="76572B66"/>
    <w:rsid w:val="76F44829"/>
    <w:rsid w:val="77A267C0"/>
    <w:rsid w:val="78205483"/>
    <w:rsid w:val="78882278"/>
    <w:rsid w:val="78B118A6"/>
    <w:rsid w:val="78DE16F4"/>
    <w:rsid w:val="79135044"/>
    <w:rsid w:val="7A644B5B"/>
    <w:rsid w:val="7A7D0F99"/>
    <w:rsid w:val="7AA32122"/>
    <w:rsid w:val="7B2A08DE"/>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styleId="11">
    <w:name w:val="footnote reference"/>
    <w:basedOn w:val="8"/>
    <w:unhideWhenUsed/>
    <w:qFormat/>
    <w:uiPriority w:val="99"/>
    <w:rPr>
      <w:vertAlign w:val="superscript"/>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5">
    <w:name w:val="font11"/>
    <w:basedOn w:val="8"/>
    <w:qFormat/>
    <w:uiPriority w:val="0"/>
    <w:rPr>
      <w:rFonts w:hint="eastAsia" w:ascii="宋体" w:hAnsi="宋体" w:eastAsia="宋体" w:cs="宋体"/>
      <w:color w:val="000000"/>
      <w:sz w:val="20"/>
      <w:szCs w:val="20"/>
      <w:u w:val="none"/>
    </w:rPr>
  </w:style>
  <w:style w:type="character" w:customStyle="1" w:styleId="16">
    <w:name w:val="批注框文本 Char"/>
    <w:basedOn w:val="8"/>
    <w:link w:val="4"/>
    <w:semiHidden/>
    <w:qFormat/>
    <w:uiPriority w:val="99"/>
    <w:rPr>
      <w:kern w:val="2"/>
      <w:sz w:val="18"/>
      <w:szCs w:val="18"/>
    </w:rPr>
  </w:style>
  <w:style w:type="character" w:customStyle="1" w:styleId="17">
    <w:name w:val="font21"/>
    <w:basedOn w:val="8"/>
    <w:qFormat/>
    <w:uiPriority w:val="0"/>
    <w:rPr>
      <w:rFonts w:hint="eastAsia" w:ascii="宋体" w:hAnsi="宋体" w:eastAsia="宋体" w:cs="宋体"/>
      <w:color w:val="000000"/>
      <w:sz w:val="22"/>
      <w:szCs w:val="22"/>
      <w:u w:val="none"/>
    </w:rPr>
  </w:style>
  <w:style w:type="character" w:customStyle="1" w:styleId="18">
    <w:name w:val="font51"/>
    <w:basedOn w:val="8"/>
    <w:qFormat/>
    <w:uiPriority w:val="0"/>
    <w:rPr>
      <w:rFonts w:hint="eastAsia" w:ascii="宋体" w:hAnsi="宋体" w:eastAsia="宋体" w:cs="宋体"/>
      <w:color w:val="000000"/>
      <w:sz w:val="24"/>
      <w:szCs w:val="24"/>
      <w:u w:val="none"/>
    </w:rPr>
  </w:style>
  <w:style w:type="character" w:customStyle="1" w:styleId="19">
    <w:name w:val="页眉 Char"/>
    <w:link w:val="6"/>
    <w:qFormat/>
    <w:uiPriority w:val="99"/>
    <w:rPr>
      <w:kern w:val="2"/>
      <w:sz w:val="18"/>
      <w:szCs w:val="18"/>
    </w:rPr>
  </w:style>
  <w:style w:type="character" w:customStyle="1" w:styleId="20">
    <w:name w:val="font01"/>
    <w:basedOn w:val="8"/>
    <w:qFormat/>
    <w:uiPriority w:val="0"/>
    <w:rPr>
      <w:rFonts w:hint="eastAsia" w:ascii="宋体" w:hAnsi="宋体" w:eastAsia="宋体" w:cs="宋体"/>
      <w:color w:val="000000"/>
      <w:sz w:val="22"/>
      <w:szCs w:val="22"/>
      <w:u w:val="none"/>
    </w:rPr>
  </w:style>
  <w:style w:type="character" w:customStyle="1" w:styleId="21">
    <w:name w:val="font41"/>
    <w:basedOn w:val="8"/>
    <w:qFormat/>
    <w:uiPriority w:val="0"/>
    <w:rPr>
      <w:rFonts w:hint="eastAsia" w:ascii="宋体" w:hAnsi="宋体" w:eastAsia="宋体" w:cs="宋体"/>
      <w:color w:val="000000"/>
      <w:sz w:val="24"/>
      <w:szCs w:val="24"/>
      <w:u w:val="none"/>
    </w:rPr>
  </w:style>
  <w:style w:type="character" w:customStyle="1" w:styleId="22">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34</Pages>
  <Words>1936</Words>
  <Characters>11036</Characters>
  <Lines>91</Lines>
  <Paragraphs>25</Paragraphs>
  <TotalTime>2</TotalTime>
  <ScaleCrop>false</ScaleCrop>
  <LinksUpToDate>false</LinksUpToDate>
  <CharactersWithSpaces>12947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2021-03-03T01:19:00Z</cp:lastPrinted>
  <dcterms:modified xsi:type="dcterms:W3CDTF">2021-05-26T07:23:18Z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260CC5C4A0A041BEA534D2C4152568B5</vt:lpwstr>
  </property>
</Properties>
</file>