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both"/>
        <w:rPr>
          <w:rFonts w:hint="eastAsia" w:ascii="黑体" w:hAnsi="黑体" w:eastAsia="黑体" w:cs="黑体"/>
          <w:color w:val="auto"/>
          <w:sz w:val="52"/>
          <w:szCs w:val="52"/>
          <w:highlight w:val="none"/>
          <w:lang w:eastAsia="zh-CN"/>
        </w:rPr>
      </w:pPr>
    </w:p>
    <w:p>
      <w:pPr>
        <w:jc w:val="both"/>
        <w:rPr>
          <w:rFonts w:hint="eastAsia" w:ascii="黑体" w:hAnsi="黑体" w:eastAsia="黑体" w:cs="黑体"/>
          <w:color w:val="auto"/>
          <w:sz w:val="52"/>
          <w:szCs w:val="52"/>
          <w:highlight w:val="none"/>
          <w:lang w:eastAsia="zh-CN"/>
        </w:rPr>
      </w:pPr>
    </w:p>
    <w:p>
      <w:pPr>
        <w:ind w:firstLine="3120" w:firstLineChars="600"/>
        <w:jc w:val="both"/>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新乡经济技术开发区管理委员会</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国土规划建设管理局</w:t>
      </w: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门</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决</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国土规划建设管理局</w:t>
      </w:r>
      <w:r>
        <w:rPr>
          <w:rFonts w:hint="eastAsia" w:ascii="黑体" w:hAnsi="黑体" w:eastAsia="黑体" w:cs="黑体"/>
          <w:color w:val="auto"/>
          <w:sz w:val="32"/>
          <w:szCs w:val="32"/>
          <w:highlight w:val="none"/>
        </w:rPr>
        <w:t>概</w:t>
      </w:r>
      <w:r>
        <w:rPr>
          <w:rFonts w:hint="eastAsia" w:ascii="黑体" w:hAnsi="黑体" w:eastAsia="黑体" w:cs="黑体"/>
          <w:color w:val="auto"/>
          <w:sz w:val="32"/>
          <w:szCs w:val="32"/>
          <w:highlight w:val="none"/>
          <w:lang w:eastAsia="zh-CN"/>
        </w:rPr>
        <w:t>述</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国土规划建设管理局</w:t>
      </w:r>
      <w:r>
        <w:rPr>
          <w:rFonts w:hint="eastAsia" w:ascii="黑体" w:hAnsi="黑体" w:eastAsia="黑体" w:cs="黑体"/>
          <w:color w:val="auto"/>
          <w:sz w:val="48"/>
          <w:szCs w:val="48"/>
          <w:highlight w:val="none"/>
        </w:rPr>
        <w:t>概</w:t>
      </w:r>
      <w:r>
        <w:rPr>
          <w:rFonts w:hint="eastAsia" w:ascii="黑体" w:hAnsi="黑体" w:eastAsia="黑体" w:cs="黑体"/>
          <w:color w:val="auto"/>
          <w:sz w:val="48"/>
          <w:szCs w:val="48"/>
          <w:highlight w:val="none"/>
          <w:lang w:eastAsia="zh-CN"/>
        </w:rPr>
        <w:t>述</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新乡经开区国土规划建设管理局是新乡经济技术开发区管理委员会的组成部门，是2017年12月改革后新成立的部门，主要承担的工作职能是：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贯彻执行国家和省、市有关建设事业和国土资源管理的法律、法规、规章及方针、政策，参与大型项目可行性研究等工程建设前期工作；会同有关部门拟定城市建设中长期规划，负责编制经开区基础设施年度建设计划；负责经开区市政、水利、交通等基础设施建设，指导经开区供电、供水、供气、供热、通讯、公共客运交通等公用设施建设工作；负责经开区建筑市场的管理，并审批经开区建设工程报建项目，核发建筑《施工许可证》和工程竣工备案。负责经开区工程质量监督管理及工程安全和文明施工监督管理工作；协同有关部门进行工程事故调查与处理工作;  协同有关部门查处违法建筑工程工作；负责经开区保障性住房建设管理工作；协同其他部门做好经开区企业及重点项目的服务工作；协同其他部门做好经开区基础设施等工程的招投标管理工作；监督指导经开区企业（单位）建筑工程招投标管理；负责经开区房地产开发管理工作；负责对擅自占用、挖掘城市道路行为开展执法检查，对损坏城市道路、桥梁、给排水设施、防洪工程设施、燃气、供热管道等设施的违法行为进行执法检查；负责经开区防汛工作；负责经开区建筑行业农民工工资纠纷协调处理工作；承担相关建设项目的政策性资金争取及融资工作；联络市住建委、市房管局、市交通局、市电业局、市公路局、市水利局、市人防办、公交公司、自来水公司、燃气公司、热力公司、各通讯公司等；组织编制和实施全区土地利用总体规划和其他专项规划；贯彻执行耕地保护制度，实施用途管制；土地报批、征收、补偿及供应；为入区企业办理土地登记手续；国土资源管理执法监察和信访稳定；承办经开区党委、管委会交办的其他事务性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新乡经开区国土规划建设管理局部门决算涵盖的预算单位包括：局机关1个单位。内设机构0个。</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从决算单位构成看，新乡经开区国土规划建设管理局部门决算包括：本级决算。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numPr>
          <w:ilvl w:val="0"/>
          <w:numId w:val="2"/>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w:t>
      </w:r>
      <w:r>
        <w:rPr>
          <w:rFonts w:hint="eastAsia" w:ascii="黑体" w:hAnsi="黑体" w:eastAsia="黑体" w:cs="黑体"/>
          <w:color w:val="auto"/>
          <w:sz w:val="48"/>
          <w:szCs w:val="48"/>
          <w:highlight w:val="none"/>
          <w:lang w:eastAsia="zh-CN"/>
        </w:rPr>
        <w:t>表</w:t>
      </w: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both"/>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269865" cy="5386070"/>
            <wp:effectExtent l="0" t="0" r="3175" b="8890"/>
            <wp:docPr id="7" name="图片 7" descr="dbe69548cb22a78ce283864847531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be69548cb22a78ce283864847531c5"/>
                    <pic:cNvPicPr>
                      <a:picLocks noChangeAspect="1"/>
                    </pic:cNvPicPr>
                  </pic:nvPicPr>
                  <pic:blipFill>
                    <a:blip r:embed="rId4"/>
                    <a:stretch>
                      <a:fillRect/>
                    </a:stretch>
                  </pic:blipFill>
                  <pic:spPr>
                    <a:xfrm>
                      <a:off x="0" y="0"/>
                      <a:ext cx="5269865" cy="5386070"/>
                    </a:xfrm>
                    <a:prstGeom prst="rect">
                      <a:avLst/>
                    </a:prstGeom>
                  </pic:spPr>
                </pic:pic>
              </a:graphicData>
            </a:graphic>
          </wp:inline>
        </w:drawing>
      </w: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706745" cy="9004935"/>
            <wp:effectExtent l="0" t="0" r="8255" b="1905"/>
            <wp:docPr id="9" name="图片 9" descr="8fb012cfca10d20fd420913bbd84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fb012cfca10d20fd420913bbd84f55"/>
                    <pic:cNvPicPr>
                      <a:picLocks noChangeAspect="1"/>
                    </pic:cNvPicPr>
                  </pic:nvPicPr>
                  <pic:blipFill>
                    <a:blip r:embed="rId5"/>
                    <a:stretch>
                      <a:fillRect/>
                    </a:stretch>
                  </pic:blipFill>
                  <pic:spPr>
                    <a:xfrm>
                      <a:off x="0" y="0"/>
                      <a:ext cx="5706745" cy="9004935"/>
                    </a:xfrm>
                    <a:prstGeom prst="rect">
                      <a:avLst/>
                    </a:prstGeom>
                  </pic:spPr>
                </pic:pic>
              </a:graphicData>
            </a:graphic>
          </wp:inline>
        </w:drawing>
      </w: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273675" cy="8597900"/>
            <wp:effectExtent l="0" t="0" r="14605" b="12700"/>
            <wp:docPr id="11" name="图片 11" descr="49eca04631fdaecbe8e69a84cf59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9eca04631fdaecbe8e69a84cf593ec"/>
                    <pic:cNvPicPr>
                      <a:picLocks noChangeAspect="1"/>
                    </pic:cNvPicPr>
                  </pic:nvPicPr>
                  <pic:blipFill>
                    <a:blip r:embed="rId6"/>
                    <a:stretch>
                      <a:fillRect/>
                    </a:stretch>
                  </pic:blipFill>
                  <pic:spPr>
                    <a:xfrm>
                      <a:off x="0" y="0"/>
                      <a:ext cx="5273675" cy="8597900"/>
                    </a:xfrm>
                    <a:prstGeom prst="rect">
                      <a:avLst/>
                    </a:prstGeom>
                  </pic:spPr>
                </pic:pic>
              </a:graphicData>
            </a:graphic>
          </wp:inline>
        </w:drawing>
      </w: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859780" cy="5692775"/>
            <wp:effectExtent l="0" t="0" r="7620" b="6985"/>
            <wp:docPr id="12" name="图片 12" descr="a60075d3cab598405c781f68631c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60075d3cab598405c781f68631c6a7"/>
                    <pic:cNvPicPr>
                      <a:picLocks noChangeAspect="1"/>
                    </pic:cNvPicPr>
                  </pic:nvPicPr>
                  <pic:blipFill>
                    <a:blip r:embed="rId7"/>
                    <a:stretch>
                      <a:fillRect/>
                    </a:stretch>
                  </pic:blipFill>
                  <pic:spPr>
                    <a:xfrm>
                      <a:off x="0" y="0"/>
                      <a:ext cx="5859780" cy="5692775"/>
                    </a:xfrm>
                    <a:prstGeom prst="rect">
                      <a:avLst/>
                    </a:prstGeom>
                  </pic:spPr>
                </pic:pic>
              </a:graphicData>
            </a:graphic>
          </wp:inline>
        </w:drawing>
      </w: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269865" cy="8745220"/>
            <wp:effectExtent l="0" t="0" r="3175" b="2540"/>
            <wp:docPr id="13" name="图片 13" descr="3c4ccd5ee7915987e9a67872dc407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c4ccd5ee7915987e9a67872dc407d8"/>
                    <pic:cNvPicPr>
                      <a:picLocks noChangeAspect="1"/>
                    </pic:cNvPicPr>
                  </pic:nvPicPr>
                  <pic:blipFill>
                    <a:blip r:embed="rId8"/>
                    <a:stretch>
                      <a:fillRect/>
                    </a:stretch>
                  </pic:blipFill>
                  <pic:spPr>
                    <a:xfrm>
                      <a:off x="0" y="0"/>
                      <a:ext cx="5269865" cy="8745220"/>
                    </a:xfrm>
                    <a:prstGeom prst="rect">
                      <a:avLst/>
                    </a:prstGeom>
                  </pic:spPr>
                </pic:pic>
              </a:graphicData>
            </a:graphic>
          </wp:inline>
        </w:drawing>
      </w: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951220" cy="5791835"/>
            <wp:effectExtent l="0" t="0" r="7620" b="14605"/>
            <wp:docPr id="14" name="图片 14" descr="45bce6ed8af58691145a2baba49a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5bce6ed8af58691145a2baba49a5ac"/>
                    <pic:cNvPicPr>
                      <a:picLocks noChangeAspect="1"/>
                    </pic:cNvPicPr>
                  </pic:nvPicPr>
                  <pic:blipFill>
                    <a:blip r:embed="rId9"/>
                    <a:stretch>
                      <a:fillRect/>
                    </a:stretch>
                  </pic:blipFill>
                  <pic:spPr>
                    <a:xfrm>
                      <a:off x="0" y="0"/>
                      <a:ext cx="5951220" cy="5791835"/>
                    </a:xfrm>
                    <a:prstGeom prst="rect">
                      <a:avLst/>
                    </a:prstGeom>
                  </pic:spPr>
                </pic:pic>
              </a:graphicData>
            </a:graphic>
          </wp:inline>
        </w:drawing>
      </w: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873115" cy="2236470"/>
            <wp:effectExtent l="0" t="0" r="9525" b="3810"/>
            <wp:docPr id="15" name="图片 15" descr="b48f130b089f4dde84e2abb76020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b48f130b089f4dde84e2abb76020685"/>
                    <pic:cNvPicPr>
                      <a:picLocks noChangeAspect="1"/>
                    </pic:cNvPicPr>
                  </pic:nvPicPr>
                  <pic:blipFill>
                    <a:blip r:embed="rId10"/>
                    <a:stretch>
                      <a:fillRect/>
                    </a:stretch>
                  </pic:blipFill>
                  <pic:spPr>
                    <a:xfrm>
                      <a:off x="0" y="0"/>
                      <a:ext cx="5873115" cy="2236470"/>
                    </a:xfrm>
                    <a:prstGeom prst="rect">
                      <a:avLst/>
                    </a:prstGeom>
                  </pic:spPr>
                </pic:pic>
              </a:graphicData>
            </a:graphic>
          </wp:inline>
        </w:drawing>
      </w: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p>
    <w:p>
      <w:pPr>
        <w:widowControl w:val="0"/>
        <w:numPr>
          <w:ilvl w:val="0"/>
          <w:numId w:val="0"/>
        </w:numPr>
        <w:jc w:val="both"/>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drawing>
          <wp:inline distT="0" distB="0" distL="114300" distR="114300">
            <wp:extent cx="5734685" cy="5854700"/>
            <wp:effectExtent l="0" t="0" r="10795" b="12700"/>
            <wp:docPr id="16" name="图片 16" descr="32da161393f44df6aca15e1ff128f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2da161393f44df6aca15e1ff128f48"/>
                    <pic:cNvPicPr>
                      <a:picLocks noChangeAspect="1"/>
                    </pic:cNvPicPr>
                  </pic:nvPicPr>
                  <pic:blipFill>
                    <a:blip r:embed="rId11"/>
                    <a:stretch>
                      <a:fillRect/>
                    </a:stretch>
                  </pic:blipFill>
                  <pic:spPr>
                    <a:xfrm>
                      <a:off x="0" y="0"/>
                      <a:ext cx="5734685" cy="5854700"/>
                    </a:xfrm>
                    <a:prstGeom prst="rect">
                      <a:avLst/>
                    </a:prstGeom>
                  </pic:spPr>
                </pic:pic>
              </a:graphicData>
            </a:graphic>
          </wp:inline>
        </w:drawing>
      </w: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widowControl w:val="0"/>
        <w:numPr>
          <w:ilvl w:val="0"/>
          <w:numId w:val="0"/>
        </w:numPr>
        <w:jc w:val="center"/>
        <w:outlineLvl w:val="0"/>
        <w:rPr>
          <w:rFonts w:hint="eastAsia" w:ascii="黑体" w:hAnsi="黑体" w:eastAsia="黑体" w:cs="黑体"/>
          <w:color w:val="auto"/>
          <w:sz w:val="48"/>
          <w:szCs w:val="48"/>
          <w:highlight w:val="none"/>
          <w:lang w:val="en-US" w:eastAsia="zh-CN"/>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bookmarkStart w:id="0" w:name="_GoBack"/>
      <w:bookmarkEnd w:id="0"/>
    </w:p>
    <w:p>
      <w:pPr>
        <w:jc w:val="both"/>
        <w:outlineLvl w:val="0"/>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2019年度收、支总计</w:t>
      </w:r>
      <w:r>
        <w:rPr>
          <w:rFonts w:hint="eastAsia" w:ascii="仿宋_GB2312" w:hAnsi="仿宋_GB2312" w:eastAsia="仿宋_GB2312" w:cs="仿宋_GB2312"/>
          <w:sz w:val="32"/>
          <w:szCs w:val="32"/>
          <w:lang w:val="en-US" w:eastAsia="zh-CN"/>
        </w:rPr>
        <w:t>79290.15</w:t>
      </w:r>
      <w:r>
        <w:rPr>
          <w:rFonts w:hint="eastAsia" w:ascii="仿宋_GB2312" w:hAnsi="仿宋_GB2312" w:eastAsia="仿宋_GB2312" w:cs="仿宋_GB2312"/>
          <w:sz w:val="32"/>
          <w:szCs w:val="32"/>
          <w:lang w:eastAsia="zh-CN"/>
        </w:rPr>
        <w:t>万元。与上年度相比，收、支出总计增加</w:t>
      </w:r>
      <w:r>
        <w:rPr>
          <w:rFonts w:hint="eastAsia" w:ascii="仿宋_GB2312" w:hAnsi="仿宋_GB2312" w:eastAsia="仿宋_GB2312" w:cs="仿宋_GB2312"/>
          <w:sz w:val="32"/>
          <w:szCs w:val="32"/>
          <w:lang w:val="en-US" w:eastAsia="zh-CN"/>
        </w:rPr>
        <w:t>7854.27</w:t>
      </w:r>
      <w:r>
        <w:rPr>
          <w:rFonts w:hint="eastAsia" w:ascii="仿宋_GB2312" w:hAnsi="仿宋_GB2312" w:eastAsia="仿宋_GB2312" w:cs="仿宋_GB2312"/>
          <w:sz w:val="32"/>
          <w:szCs w:val="32"/>
          <w:lang w:eastAsia="zh-CN"/>
        </w:rPr>
        <w:t>万元，增长</w:t>
      </w:r>
      <w:r>
        <w:rPr>
          <w:rFonts w:hint="eastAsia" w:ascii="仿宋_GB2312" w:hAnsi="仿宋_GB2312" w:eastAsia="仿宋_GB2312" w:cs="仿宋_GB2312"/>
          <w:sz w:val="32"/>
          <w:szCs w:val="32"/>
          <w:lang w:val="en-US" w:eastAsia="zh-CN"/>
        </w:rPr>
        <w:t>10.99</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sz w:val="32"/>
          <w:szCs w:val="32"/>
        </w:rPr>
        <w:t>要原因是</w:t>
      </w:r>
      <w:r>
        <w:rPr>
          <w:rFonts w:hint="eastAsia" w:ascii="仿宋_GB2312" w:hAnsi="仿宋_GB2312" w:eastAsia="仿宋_GB2312" w:cs="仿宋_GB2312"/>
          <w:sz w:val="32"/>
          <w:szCs w:val="32"/>
          <w:lang w:eastAsia="zh-CN"/>
        </w:rPr>
        <w:t>新增了道路及污水管网建设项目费用支出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2019年度收入合计</w:t>
      </w:r>
      <w:r>
        <w:rPr>
          <w:rFonts w:hint="eastAsia" w:ascii="仿宋_GB2312" w:hAnsi="仿宋_GB2312" w:eastAsia="仿宋_GB2312" w:cs="仿宋_GB2312"/>
          <w:sz w:val="32"/>
          <w:szCs w:val="32"/>
          <w:lang w:val="en-US" w:eastAsia="zh-CN"/>
        </w:rPr>
        <w:t>77416.91</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77416.91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2019年度支出合计</w:t>
      </w:r>
      <w:r>
        <w:rPr>
          <w:rFonts w:hint="eastAsia" w:ascii="仿宋_GB2312" w:hAnsi="仿宋_GB2312" w:eastAsia="仿宋_GB2312" w:cs="仿宋_GB2312"/>
          <w:sz w:val="32"/>
          <w:szCs w:val="32"/>
          <w:lang w:val="en-US" w:eastAsia="zh-CN"/>
        </w:rPr>
        <w:t>77882.32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296.79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0.38</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77585.53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99.62</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2019年度财政拨款收入</w:t>
      </w:r>
      <w:r>
        <w:rPr>
          <w:rFonts w:hint="eastAsia" w:ascii="仿宋_GB2312" w:hAnsi="仿宋_GB2312" w:eastAsia="仿宋_GB2312" w:cs="仿宋_GB2312"/>
          <w:sz w:val="32"/>
          <w:szCs w:val="32"/>
          <w:lang w:eastAsia="zh-CN"/>
        </w:rPr>
        <w:t>、支总计</w:t>
      </w:r>
      <w:r>
        <w:rPr>
          <w:rFonts w:hint="eastAsia" w:ascii="仿宋_GB2312" w:hAnsi="仿宋_GB2312" w:eastAsia="仿宋_GB2312" w:cs="仿宋_GB2312"/>
          <w:sz w:val="32"/>
          <w:szCs w:val="32"/>
          <w:lang w:val="en-US" w:eastAsia="zh-CN"/>
        </w:rPr>
        <w:t>79290.15</w:t>
      </w:r>
      <w:r>
        <w:rPr>
          <w:rFonts w:hint="eastAsia" w:ascii="仿宋_GB2312" w:hAnsi="仿宋_GB2312" w:eastAsia="仿宋_GB2312" w:cs="仿宋_GB2312"/>
          <w:sz w:val="32"/>
          <w:szCs w:val="32"/>
        </w:rPr>
        <w:t>万元。与上年度相</w:t>
      </w:r>
      <w:r>
        <w:rPr>
          <w:rFonts w:hint="eastAsia" w:ascii="仿宋_GB2312" w:hAnsi="仿宋_GB2312" w:eastAsia="仿宋_GB2312" w:cs="仿宋_GB2312"/>
          <w:sz w:val="32"/>
          <w:szCs w:val="32"/>
          <w:lang w:val="en-US" w:eastAsia="zh-CN"/>
        </w:rPr>
        <w:t>比，财政拨款收、支总计增加7854.27万元，增长10.99%。主要原因是新</w:t>
      </w:r>
      <w:r>
        <w:rPr>
          <w:rFonts w:hint="eastAsia" w:ascii="仿宋_GB2312" w:hAnsi="仿宋_GB2312" w:eastAsia="仿宋_GB2312" w:cs="仿宋_GB2312"/>
          <w:sz w:val="32"/>
          <w:szCs w:val="32"/>
          <w:lang w:eastAsia="zh-CN"/>
        </w:rPr>
        <w:t>增了道路及污水管网建设项目费用支出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2019年度一般公共预算财政拨款支出5995.17万元，占本年支出合计的7.56%。与上年度相比，一般公共预算财政拨款支出增加1251.64万元，增长26.38%。主要</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eastAsia="zh-CN"/>
        </w:rPr>
        <w:t>增加了污水处理厂二期等项目支出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（二）结构情况。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w:t>
      </w:r>
      <w:r>
        <w:rPr>
          <w:rFonts w:hint="eastAsia" w:ascii="仿宋_GB2312" w:hAnsi="仿宋_GB2312" w:eastAsia="仿宋_GB2312" w:cs="仿宋_GB2312"/>
          <w:sz w:val="32"/>
          <w:szCs w:val="32"/>
          <w:lang w:val="en-US" w:eastAsia="zh-CN"/>
        </w:rPr>
        <w:t>5995.17</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14.44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11.59万元，占0.18%；节能环保支出1588.25万元，占24.28%；城乡社区支出3831.14万元，占58.56%；农林水支出169.28万元，占2.59%；交通运输支出50.00万元，占0.76%；自然资源海洋气象等支出139.21万元，占2.13%；住房保障支出187.96万元，占2.87%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（三）具体情况。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2019年度一般公共预算财政拨款支出年初预算为</w:t>
      </w:r>
      <w:r>
        <w:rPr>
          <w:rFonts w:hint="eastAsia" w:ascii="仿宋_GB2312" w:hAnsi="仿宋_GB2312" w:eastAsia="仿宋_GB2312" w:cs="仿宋_GB2312"/>
          <w:sz w:val="32"/>
          <w:szCs w:val="32"/>
          <w:lang w:val="en-US" w:eastAsia="zh-CN"/>
        </w:rPr>
        <w:t>5411.75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5995.17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110.7</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一般公共服务支出（类）政府办公厅（室）及相关机构支出（款）行政运行（项）</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%。决算数与年初预算数</w:t>
      </w:r>
      <w:r>
        <w:rPr>
          <w:rFonts w:hint="eastAsia" w:ascii="仿宋_GB2312" w:hAnsi="仿宋_GB2312" w:eastAsia="仿宋_GB2312" w:cs="仿宋_GB2312"/>
          <w:color w:val="000000" w:themeColor="text1"/>
          <w:sz w:val="32"/>
          <w:szCs w:val="32"/>
          <w:lang w:eastAsia="zh-CN"/>
          <w14:textFill>
            <w14:solidFill>
              <w14:schemeClr w14:val="tx1"/>
            </w14:solidFill>
          </w14:textFill>
        </w:rPr>
        <w:t>不</w:t>
      </w:r>
      <w:r>
        <w:rPr>
          <w:rFonts w:hint="eastAsia" w:ascii="仿宋_GB2312" w:hAnsi="仿宋_GB2312" w:eastAsia="仿宋_GB2312" w:cs="仿宋_GB2312"/>
          <w:color w:val="000000" w:themeColor="text1"/>
          <w:sz w:val="32"/>
          <w:szCs w:val="32"/>
          <w14:textFill>
            <w14:solidFill>
              <w14:schemeClr w14:val="tx1"/>
            </w14:solidFill>
          </w14:textFill>
        </w:rPr>
        <w:t>存在差异。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社会保障和就业支出（类）行政事业单位养老支出（款）机关事业单位基本养老保险缴费支出（项）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14.02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92.06</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部门人员缴费基数调整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社会保障和就业支出（类）</w:t>
      </w:r>
      <w:r>
        <w:rPr>
          <w:rFonts w:hint="eastAsia" w:ascii="仿宋_GB2312" w:hAnsi="仿宋_GB2312" w:eastAsia="仿宋_GB2312" w:cs="仿宋_GB2312"/>
          <w:b/>
          <w:bCs/>
          <w:sz w:val="32"/>
          <w:szCs w:val="32"/>
        </w:rPr>
        <w:t>其他社会保障和就业支出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sz w:val="32"/>
          <w:szCs w:val="32"/>
        </w:rPr>
        <w:t>其他社会保障和就业支出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0.42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0.4141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98.6</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四舍五入尾数出入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卫生健康支出（类）行政事业单位医疗（款）</w:t>
      </w:r>
      <w:r>
        <w:rPr>
          <w:rFonts w:hint="eastAsia" w:ascii="仿宋_GB2312" w:hAnsi="仿宋_GB2312" w:eastAsia="仿宋_GB2312" w:cs="仿宋_GB2312"/>
          <w:b/>
          <w:bCs/>
          <w:sz w:val="32"/>
          <w:szCs w:val="32"/>
        </w:rPr>
        <w:t>行政单位医疗</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6.49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83.36</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部门人员缴费基数调整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卫生健康支出（类）行政事业单位医疗（款）</w:t>
      </w:r>
      <w:r>
        <w:rPr>
          <w:rFonts w:hint="eastAsia" w:ascii="仿宋_GB2312" w:hAnsi="仿宋_GB2312" w:eastAsia="仿宋_GB2312" w:cs="仿宋_GB2312"/>
          <w:b/>
          <w:bCs/>
          <w:sz w:val="32"/>
          <w:szCs w:val="32"/>
        </w:rPr>
        <w:t>公务员医疗补助</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6.49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6.18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95.22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部门人员缴费基数调整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节能环保支出（类）机关服务（款）</w:t>
      </w:r>
      <w:r>
        <w:rPr>
          <w:rFonts w:hint="eastAsia" w:ascii="仿宋_GB2312" w:hAnsi="仿宋_GB2312" w:eastAsia="仿宋_GB2312" w:cs="仿宋_GB2312"/>
          <w:b/>
          <w:bCs/>
          <w:sz w:val="32"/>
          <w:szCs w:val="32"/>
        </w:rPr>
        <w:t>行政运行</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2580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1588.25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61.56</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部门工作调整，此项工作职责调至其他局办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城乡社区支出（类）城乡社区管理事务（款）</w:t>
      </w:r>
      <w:r>
        <w:rPr>
          <w:rFonts w:hint="eastAsia" w:ascii="仿宋_GB2312" w:hAnsi="仿宋_GB2312" w:eastAsia="仿宋_GB2312" w:cs="仿宋_GB2312"/>
          <w:b/>
          <w:bCs/>
          <w:sz w:val="32"/>
          <w:szCs w:val="32"/>
        </w:rPr>
        <w:t>行政运行</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258.17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267.46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部门人员调整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城乡社区支出（类）城乡社区管理事务（款）</w:t>
      </w:r>
      <w:r>
        <w:rPr>
          <w:rFonts w:hint="eastAsia" w:ascii="仿宋_GB2312" w:hAnsi="仿宋_GB2312" w:eastAsia="仿宋_GB2312" w:cs="仿宋_GB2312"/>
          <w:b/>
          <w:bCs/>
          <w:sz w:val="32"/>
          <w:szCs w:val="32"/>
        </w:rPr>
        <w:t>其他城乡社区管理事务支出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143.54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241.2</w:t>
      </w:r>
      <w:r>
        <w:rPr>
          <w:rFonts w:hint="eastAsia" w:ascii="仿宋_GB2312" w:hAnsi="仿宋_GB2312" w:eastAsia="仿宋_GB2312" w:cs="仿宋_GB2312"/>
          <w:sz w:val="32"/>
          <w:szCs w:val="32"/>
        </w:rPr>
        <w:t>%。决算</w:t>
      </w:r>
      <w:r>
        <w:rPr>
          <w:rFonts w:hint="eastAsia" w:ascii="仿宋_GB2312" w:hAnsi="仿宋_GB2312" w:eastAsia="仿宋_GB2312" w:cs="仿宋_GB2312"/>
          <w:color w:val="000000" w:themeColor="text1"/>
          <w:sz w:val="32"/>
          <w:szCs w:val="32"/>
          <w14:textFill>
            <w14:solidFill>
              <w14:schemeClr w14:val="tx1"/>
            </w14:solidFill>
          </w14:textFill>
        </w:rPr>
        <w:t>数与年初预算数存在差异的主要原因是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平原湖管理费用和危房改造鉴定费用增加</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城乡社区支出（类）城乡社区公共设施（款）</w:t>
      </w:r>
      <w:r>
        <w:rPr>
          <w:rFonts w:hint="eastAsia" w:ascii="仿宋_GB2312" w:hAnsi="仿宋_GB2312" w:eastAsia="仿宋_GB2312" w:cs="仿宋_GB2312"/>
          <w:b/>
          <w:bCs/>
          <w:sz w:val="32"/>
          <w:szCs w:val="32"/>
        </w:rPr>
        <w:t>其他城乡社区公共设施支出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2279.38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3420.14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150.04</w:t>
      </w:r>
      <w:r>
        <w:rPr>
          <w:rFonts w:hint="eastAsia" w:ascii="仿宋_GB2312" w:hAnsi="仿宋_GB2312" w:eastAsia="仿宋_GB2312" w:cs="仿宋_GB2312"/>
          <w:sz w:val="32"/>
          <w:szCs w:val="32"/>
        </w:rPr>
        <w:t>%。决算数与年初预算数存在差异</w:t>
      </w:r>
      <w:r>
        <w:rPr>
          <w:rFonts w:hint="eastAsia" w:ascii="仿宋_GB2312" w:hAnsi="仿宋_GB2312" w:eastAsia="仿宋_GB2312" w:cs="仿宋_GB2312"/>
          <w:color w:val="000000" w:themeColor="text1"/>
          <w:sz w:val="32"/>
          <w:szCs w:val="32"/>
          <w14:textFill>
            <w14:solidFill>
              <w14:schemeClr w14:val="tx1"/>
            </w14:solidFill>
          </w14:textFill>
        </w:rPr>
        <w:t>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市政道路维修、测绘费和项目预算、可研、设计等前期费用增加</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农林水支出（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类）南水北调（款）</w:t>
      </w:r>
      <w:r>
        <w:rPr>
          <w:rFonts w:hint="eastAsia" w:ascii="仿宋_GB2312" w:hAnsi="仿宋_GB2312" w:eastAsia="仿宋_GB2312" w:cs="仿宋_GB2312"/>
          <w:b/>
          <w:bCs/>
          <w:sz w:val="32"/>
          <w:szCs w:val="32"/>
        </w:rPr>
        <w:t>其他南水北调支出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157.31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169.28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107.6</w:t>
      </w:r>
      <w:r>
        <w:rPr>
          <w:rFonts w:hint="eastAsia" w:ascii="仿宋_GB2312" w:hAnsi="仿宋_GB2312" w:eastAsia="仿宋_GB2312" w:cs="仿宋_GB2312"/>
          <w:sz w:val="32"/>
          <w:szCs w:val="32"/>
        </w:rPr>
        <w:t>%。决</w:t>
      </w:r>
      <w:r>
        <w:rPr>
          <w:rFonts w:hint="eastAsia" w:ascii="仿宋_GB2312" w:hAnsi="仿宋_GB2312" w:eastAsia="仿宋_GB2312" w:cs="仿宋_GB2312"/>
          <w:color w:val="000000" w:themeColor="text1"/>
          <w:sz w:val="32"/>
          <w:szCs w:val="32"/>
          <w14:textFill>
            <w14:solidFill>
              <w14:schemeClr w14:val="tx1"/>
            </w14:solidFill>
          </w14:textFill>
        </w:rPr>
        <w:t>算数与年初预算数存在差异的主要原因是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南水北调水量增加</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交通运输支出（类）车辆购置税支出（款）</w:t>
      </w:r>
      <w:r>
        <w:rPr>
          <w:rFonts w:hint="eastAsia" w:ascii="仿宋_GB2312" w:hAnsi="仿宋_GB2312" w:eastAsia="仿宋_GB2312" w:cs="仿宋_GB2312"/>
          <w:b/>
          <w:bCs/>
          <w:color w:val="000000" w:themeColor="text1"/>
          <w:sz w:val="32"/>
          <w:szCs w:val="32"/>
          <w14:textFill>
            <w14:solidFill>
              <w14:schemeClr w14:val="tx1"/>
            </w14:solidFill>
          </w14:textFill>
        </w:rPr>
        <w:t>车辆购置税用于农村公路建设支出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（项）</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%。决算数与年初预算数</w:t>
      </w:r>
      <w:r>
        <w:rPr>
          <w:rFonts w:hint="eastAsia" w:ascii="仿宋_GB2312" w:hAnsi="仿宋_GB2312" w:eastAsia="仿宋_GB2312" w:cs="仿宋_GB2312"/>
          <w:color w:val="000000" w:themeColor="text1"/>
          <w:sz w:val="32"/>
          <w:szCs w:val="32"/>
          <w:lang w:eastAsia="zh-CN"/>
          <w14:textFill>
            <w14:solidFill>
              <w14:schemeClr w14:val="tx1"/>
            </w14:solidFill>
          </w14:textFill>
        </w:rPr>
        <w:t>不</w:t>
      </w:r>
      <w:r>
        <w:rPr>
          <w:rFonts w:hint="eastAsia" w:ascii="仿宋_GB2312" w:hAnsi="仿宋_GB2312" w:eastAsia="仿宋_GB2312" w:cs="仿宋_GB2312"/>
          <w:color w:val="000000" w:themeColor="text1"/>
          <w:sz w:val="32"/>
          <w:szCs w:val="32"/>
          <w14:textFill>
            <w14:solidFill>
              <w14:schemeClr w14:val="tx1"/>
            </w14:solidFill>
          </w14:textFill>
        </w:rPr>
        <w:t>存在差异。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自然资源海洋气象等支出（类）自然资源事务（款）</w:t>
      </w:r>
      <w:r>
        <w:rPr>
          <w:rFonts w:hint="eastAsia" w:ascii="仿宋_GB2312" w:hAnsi="仿宋_GB2312" w:eastAsia="仿宋_GB2312" w:cs="仿宋_GB2312"/>
          <w:b/>
          <w:bCs/>
          <w:sz w:val="32"/>
          <w:szCs w:val="32"/>
        </w:rPr>
        <w:t>土地资源调查</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17.2</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16.52</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96.05</w:t>
      </w:r>
      <w:r>
        <w:rPr>
          <w:rFonts w:hint="eastAsia" w:ascii="仿宋_GB2312" w:hAnsi="仿宋_GB2312" w:eastAsia="仿宋_GB2312" w:cs="仿宋_GB2312"/>
          <w:color w:val="000000" w:themeColor="text1"/>
          <w:sz w:val="32"/>
          <w:szCs w:val="32"/>
          <w14:textFill>
            <w14:solidFill>
              <w14:schemeClr w14:val="tx1"/>
            </w14:solidFill>
          </w14:textFill>
        </w:rPr>
        <w:t>%。决算数与</w:t>
      </w:r>
      <w:r>
        <w:rPr>
          <w:rFonts w:hint="eastAsia" w:ascii="仿宋_GB2312" w:hAnsi="仿宋_GB2312" w:eastAsia="仿宋_GB2312" w:cs="仿宋_GB2312"/>
          <w:sz w:val="32"/>
          <w:szCs w:val="32"/>
        </w:rPr>
        <w:t>年初预算数存在差异的</w:t>
      </w:r>
      <w:r>
        <w:rPr>
          <w:rFonts w:hint="eastAsia" w:ascii="仿宋_GB2312" w:hAnsi="仿宋_GB2312" w:eastAsia="仿宋_GB2312" w:cs="仿宋_GB2312"/>
          <w:color w:val="000000" w:themeColor="text1"/>
          <w:sz w:val="32"/>
          <w:szCs w:val="32"/>
          <w14:textFill>
            <w14:solidFill>
              <w14:schemeClr w14:val="tx1"/>
            </w14:solidFill>
          </w14:textFill>
        </w:rPr>
        <w:t>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根据上级要求该项工作内容相应减少</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自然资源海洋气象等支出（类）自然资源事务（款）</w:t>
      </w:r>
      <w:r>
        <w:rPr>
          <w:rFonts w:hint="eastAsia" w:ascii="仿宋_GB2312" w:hAnsi="仿宋_GB2312" w:eastAsia="仿宋_GB2312" w:cs="仿宋_GB2312"/>
          <w:b/>
          <w:bCs/>
          <w:sz w:val="32"/>
          <w:szCs w:val="32"/>
        </w:rPr>
        <w:t>土地资源利用与保护</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18.56</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12.37</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66.65</w:t>
      </w:r>
      <w:r>
        <w:rPr>
          <w:rFonts w:hint="eastAsia" w:ascii="仿宋_GB2312" w:hAnsi="仿宋_GB2312" w:eastAsia="仿宋_GB2312" w:cs="仿宋_GB2312"/>
          <w:color w:val="000000" w:themeColor="text1"/>
          <w:sz w:val="32"/>
          <w:szCs w:val="32"/>
          <w14:textFill>
            <w14:solidFill>
              <w14:schemeClr w14:val="tx1"/>
            </w14:solidFill>
          </w14:textFill>
        </w:rPr>
        <w:t>%。决</w:t>
      </w:r>
      <w:r>
        <w:rPr>
          <w:rFonts w:hint="eastAsia" w:ascii="仿宋_GB2312" w:hAnsi="仿宋_GB2312" w:eastAsia="仿宋_GB2312" w:cs="仿宋_GB2312"/>
          <w:sz w:val="32"/>
          <w:szCs w:val="32"/>
        </w:rPr>
        <w:t>算数与年初</w:t>
      </w:r>
      <w:r>
        <w:rPr>
          <w:rFonts w:hint="eastAsia" w:ascii="仿宋_GB2312" w:hAnsi="仿宋_GB2312" w:eastAsia="仿宋_GB2312" w:cs="仿宋_GB2312"/>
          <w:color w:val="000000" w:themeColor="text1"/>
          <w:sz w:val="32"/>
          <w:szCs w:val="32"/>
          <w14:textFill>
            <w14:solidFill>
              <w14:schemeClr w14:val="tx1"/>
            </w14:solidFill>
          </w14:textFill>
        </w:rPr>
        <w:t>预算数存在差异的主要原因是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根据上级要求该项工作内容相应减少</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sz w:val="32"/>
          <w:szCs w:val="32"/>
          <w:lang w:eastAsia="zh-CN"/>
        </w:rPr>
        <w:t>自然资源海洋气象等支出（类）自然资源事务（款）</w:t>
      </w:r>
      <w:r>
        <w:rPr>
          <w:rFonts w:hint="eastAsia" w:ascii="仿宋_GB2312" w:hAnsi="仿宋_GB2312" w:eastAsia="仿宋_GB2312" w:cs="仿宋_GB2312"/>
          <w:b/>
          <w:bCs/>
          <w:color w:val="000000" w:themeColor="text1"/>
          <w:sz w:val="32"/>
          <w:szCs w:val="32"/>
          <w14:textFill>
            <w14:solidFill>
              <w14:schemeClr w14:val="tx1"/>
            </w14:solidFill>
          </w14:textFill>
        </w:rPr>
        <w:t>其他自然资源事务支出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（项）</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110.92</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110.31</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99.45</w:t>
      </w:r>
      <w:r>
        <w:rPr>
          <w:rFonts w:hint="eastAsia" w:ascii="仿宋_GB2312" w:hAnsi="仿宋_GB2312" w:eastAsia="仿宋_GB2312" w:cs="仿宋_GB2312"/>
          <w:color w:val="000000" w:themeColor="text1"/>
          <w:sz w:val="32"/>
          <w:szCs w:val="32"/>
          <w14:textFill>
            <w14:solidFill>
              <w14:schemeClr w14:val="tx1"/>
            </w14:solidFill>
          </w14:textFill>
        </w:rPr>
        <w:t>%。决算数与年初预算数存在差异的主要原因是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土地报批材料印制费用减少</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住房保障支出（类）保障性安居工程支出（款）棚户区改造（项）</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177</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177</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%。决算数与年初预算数</w:t>
      </w:r>
      <w:r>
        <w:rPr>
          <w:rFonts w:hint="eastAsia" w:ascii="仿宋_GB2312" w:hAnsi="仿宋_GB2312" w:eastAsia="仿宋_GB2312" w:cs="仿宋_GB2312"/>
          <w:color w:val="000000" w:themeColor="text1"/>
          <w:sz w:val="32"/>
          <w:szCs w:val="32"/>
          <w:lang w:eastAsia="zh-CN"/>
          <w14:textFill>
            <w14:solidFill>
              <w14:schemeClr w14:val="tx1"/>
            </w14:solidFill>
          </w14:textFill>
        </w:rPr>
        <w:t>不</w:t>
      </w:r>
      <w:r>
        <w:rPr>
          <w:rFonts w:hint="eastAsia" w:ascii="仿宋_GB2312" w:hAnsi="仿宋_GB2312" w:eastAsia="仿宋_GB2312" w:cs="仿宋_GB2312"/>
          <w:color w:val="000000" w:themeColor="text1"/>
          <w:sz w:val="32"/>
          <w:szCs w:val="32"/>
          <w14:textFill>
            <w14:solidFill>
              <w14:schemeClr w14:val="tx1"/>
            </w14:solidFill>
          </w14:textFill>
        </w:rPr>
        <w:t>存在差异。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住房保障支出（类）保障性安居工程支出（款）</w:t>
      </w:r>
      <w:r>
        <w:rPr>
          <w:rFonts w:hint="eastAsia" w:ascii="仿宋_GB2312" w:hAnsi="仿宋_GB2312" w:eastAsia="仿宋_GB2312" w:cs="仿宋_GB2312"/>
          <w:b/>
          <w:bCs/>
          <w:color w:val="000000" w:themeColor="text1"/>
          <w:sz w:val="32"/>
          <w:szCs w:val="32"/>
          <w14:textFill>
            <w14:solidFill>
              <w14:schemeClr w14:val="tx1"/>
            </w14:solidFill>
          </w14:textFill>
        </w:rPr>
        <w:t>其他保障性安居工程支出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（项）</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21.68</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10.96</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84.92</w:t>
      </w:r>
      <w:r>
        <w:rPr>
          <w:rFonts w:hint="eastAsia" w:ascii="仿宋_GB2312" w:hAnsi="仿宋_GB2312" w:eastAsia="仿宋_GB2312" w:cs="仿宋_GB2312"/>
          <w:color w:val="000000" w:themeColor="text1"/>
          <w:sz w:val="32"/>
          <w:szCs w:val="32"/>
          <w14:textFill>
            <w14:solidFill>
              <w14:schemeClr w14:val="tx1"/>
            </w14:solidFill>
          </w14:textFill>
        </w:rPr>
        <w:t>%。决算数与年初预算数存在差异的主要原因是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保障房维修费减少</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w:t>
      </w:r>
      <w:r>
        <w:rPr>
          <w:rFonts w:hint="eastAsia" w:ascii="仿宋_GB2312" w:hAnsi="仿宋_GB2312" w:eastAsia="仿宋_GB2312" w:cs="仿宋_GB2312"/>
          <w:sz w:val="32"/>
          <w:szCs w:val="32"/>
          <w:lang w:val="en-US" w:eastAsia="zh-CN"/>
        </w:rPr>
        <w:t>296.79</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290.18</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基本工资、机关事业单位基本养老保险缴费、职工基本医疗保险缴费、公务员医疗补助缴费、其他社会保险缴费、住房公积金等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6.61</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办公费、印刷费、差旅费、维修（护）费、委托业务费、工会经费、公务用车运行维护费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2019年度“三公”经费财政拨款支出预算为</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0.77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20.81</w:t>
      </w:r>
      <w:r>
        <w:rPr>
          <w:rFonts w:hint="eastAsia" w:ascii="仿宋_GB2312" w:hAnsi="仿宋_GB2312" w:eastAsia="仿宋_GB2312" w:cs="仿宋_GB2312"/>
          <w:sz w:val="32"/>
          <w:szCs w:val="32"/>
        </w:rPr>
        <w:t>%。2019年度“三公”经费支出决</w:t>
      </w:r>
      <w:r>
        <w:rPr>
          <w:rFonts w:hint="eastAsia" w:ascii="仿宋_GB2312" w:hAnsi="仿宋_GB2312" w:eastAsia="仿宋_GB2312" w:cs="仿宋_GB2312"/>
          <w:color w:val="000000" w:themeColor="text1"/>
          <w:sz w:val="32"/>
          <w:szCs w:val="32"/>
          <w14:textFill>
            <w14:solidFill>
              <w14:schemeClr w14:val="tx1"/>
            </w14:solidFill>
          </w14:textFill>
        </w:rPr>
        <w:t>算数与预算数存在差异的主要原因是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公务接待和公车运行费用逐年递减</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77.92</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22.08</w:t>
      </w:r>
      <w:r>
        <w:rPr>
          <w:rFonts w:hint="eastAsia" w:ascii="仿宋_GB2312" w:hAnsi="仿宋_GB2312" w:eastAsia="仿宋_GB2312" w:cs="仿宋_GB2312"/>
          <w:sz w:val="32"/>
          <w:szCs w:val="32"/>
        </w:rPr>
        <w:t>%。具体情况如下：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因公出国（境）费年初预算为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。全年因公出国（境）团组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公务用车购置及运行费年初预算为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公务用车运行费用下降</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公务用车购置支出为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购置车辆。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公务用车运行支出</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公务用车燃油及维修费</w:t>
      </w:r>
      <w:r>
        <w:rPr>
          <w:rFonts w:hint="eastAsia" w:ascii="仿宋_GB2312" w:hAnsi="仿宋_GB2312" w:eastAsia="仿宋_GB2312" w:cs="仿宋_GB2312"/>
          <w:sz w:val="32"/>
          <w:szCs w:val="32"/>
        </w:rPr>
        <w:t>。2019年期末，部门开支财政拨款的公务用车保有量为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3.公务接待费年初预算为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公务接待减少</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万元。2019年共接待国（境）外来访团组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其他国内公务接待支出</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建设工程安全隐患检查、电网规划调研、农村危房改造督查、棚改申报工作核查等</w:t>
      </w:r>
      <w:r>
        <w:rPr>
          <w:rFonts w:hint="eastAsia" w:ascii="仿宋_GB2312" w:hAnsi="仿宋_GB2312" w:eastAsia="仿宋_GB2312" w:cs="仿宋_GB2312"/>
          <w:sz w:val="32"/>
          <w:szCs w:val="32"/>
        </w:rPr>
        <w:t>。20</w:t>
      </w:r>
      <w:r>
        <w:rPr>
          <w:rFonts w:hint="eastAsia" w:ascii="仿宋_GB2312" w:hAnsi="仿宋_GB2312" w:eastAsia="仿宋_GB2312" w:cs="仿宋_GB2312"/>
          <w:color w:val="auto"/>
          <w:sz w:val="32"/>
          <w:szCs w:val="32"/>
        </w:rPr>
        <w:t>19年共接待国内来访团组</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个、来宾</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人次（不包括陪同人员）。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根据财政预算管理要求，国土规划建设管理局对2019年度一般公共预算项目支出全面开展自评，共涉及项目21个，金额5124.95万元，自评覆盖率达到100%。部门年度履职目标围绕土地管理、基础设施项目建设进行。年度主要任务有认真做好土地报批、出让工作；全面开展第三次全国土地调查工作；全力推进市政基础及公用设施建设；持续打好环境攻坚、脱贫攻坚、防范化解重大风险攻坚“三大攻坚战”等。从评价情况来看，年度总体目标完成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我局2019年对各项目进行年终绩效考核，对照项目设置的数量指标、时效指标、社会效益指标、可持续影响指标、服务对象满意指标等个性指标，绩效评价工作组认真进行测评，有关绩效指标基本按计划完成。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（三）以部门为主体开展的重点绩效评价结果。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我局重点对经开区总规修编、耕地质量等别评定专项经费、市政基础设施零星维护费、项目前期经费等项目进行了绩效评估，各项目资金运转良好。通过开展总规修编项目，我区城市建设和项目落地更加规范有序；通过完成耕地质量等级调查评价与监测工作，全面掌握耕地质量现状，完善土地登记体系，有利于加强耕地质量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2019年度政府性基金预算财政拨款支出年初预算为</w:t>
      </w:r>
      <w:r>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t>172998.19</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71887.15</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41.55</w:t>
      </w:r>
      <w:r>
        <w:rPr>
          <w:rFonts w:hint="eastAsia" w:ascii="仿宋_GB2312" w:hAnsi="仿宋_GB2312" w:eastAsia="仿宋_GB2312" w:cs="仿宋_GB2312"/>
          <w:color w:val="000000" w:themeColor="text1"/>
          <w:sz w:val="32"/>
          <w:szCs w:val="32"/>
          <w14:textFill>
            <w14:solidFill>
              <w14:schemeClr w14:val="tx1"/>
            </w14:solidFill>
          </w14:textFill>
        </w:rPr>
        <w:t>%。主要用于</w:t>
      </w:r>
      <w:r>
        <w:rPr>
          <w:rFonts w:hint="eastAsia" w:ascii="仿宋_GB2312" w:hAnsi="仿宋_GB2312" w:eastAsia="仿宋_GB2312" w:cs="仿宋_GB2312"/>
          <w:color w:val="000000" w:themeColor="text1"/>
          <w:sz w:val="32"/>
          <w:szCs w:val="32"/>
          <w:lang w:eastAsia="zh-CN"/>
          <w14:textFill>
            <w14:solidFill>
              <w14:schemeClr w14:val="tx1"/>
            </w14:solidFill>
          </w14:textFill>
        </w:rPr>
        <w:t>征地和拆迁补偿支出、城市建设支出、城市基础设施配套费支出等</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2019年度机关运行经费年初预算为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7.92</w:t>
      </w:r>
      <w:r>
        <w:rPr>
          <w:rFonts w:hint="eastAsia" w:ascii="仿宋_GB2312" w:hAnsi="仿宋_GB2312" w:eastAsia="仿宋_GB2312" w:cs="仿宋_GB2312"/>
          <w:color w:val="000000" w:themeColor="text1"/>
          <w:sz w:val="32"/>
          <w:szCs w:val="32"/>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6.61</w:t>
      </w:r>
      <w:r>
        <w:rPr>
          <w:rFonts w:hint="eastAsia" w:ascii="仿宋_GB2312" w:hAnsi="仿宋_GB2312" w:eastAsia="仿宋_GB2312" w:cs="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83.46</w:t>
      </w:r>
      <w:r>
        <w:rPr>
          <w:rFonts w:hint="eastAsia" w:ascii="仿宋_GB2312" w:hAnsi="仿宋_GB2312" w:eastAsia="仿宋_GB2312" w:cs="仿宋_GB2312"/>
          <w:color w:val="000000" w:themeColor="text1"/>
          <w:sz w:val="32"/>
          <w:szCs w:val="32"/>
          <w14:textFill>
            <w14:solidFill>
              <w14:schemeClr w14:val="tx1"/>
            </w14:solidFill>
          </w14:textFill>
        </w:rPr>
        <w:t>%。决算数与年初预算数存在差异的主要原因是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差旅费、办公费减少，因差旅费、办公费相应支出减少，本年机关运行经费同上年相比有所减少</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十一、政府采购支出情况说明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2019年度政府采购支出总额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2635.25</w:t>
      </w:r>
      <w:r>
        <w:rPr>
          <w:rFonts w:hint="eastAsia" w:ascii="仿宋_GB2312" w:hAnsi="仿宋_GB2312" w:eastAsia="仿宋_GB2312" w:cs="仿宋_GB2312"/>
          <w:color w:val="000000" w:themeColor="text1"/>
          <w:sz w:val="32"/>
          <w:szCs w:val="32"/>
          <w14:textFill>
            <w14:solidFill>
              <w14:schemeClr w14:val="tx1"/>
            </w14:solidFill>
          </w14:textFill>
        </w:rPr>
        <w:t>万元，其中：政府采购货物支出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4.74</w:t>
      </w:r>
      <w:r>
        <w:rPr>
          <w:rFonts w:hint="eastAsia" w:ascii="仿宋_GB2312" w:hAnsi="仿宋_GB2312" w:eastAsia="仿宋_GB2312" w:cs="仿宋_GB2312"/>
          <w:color w:val="000000" w:themeColor="text1"/>
          <w:sz w:val="32"/>
          <w:szCs w:val="32"/>
          <w14:textFill>
            <w14:solidFill>
              <w14:schemeClr w14:val="tx1"/>
            </w14:solidFill>
          </w14:textFill>
        </w:rPr>
        <w:t>万元、政府采购工程支出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1784.08</w:t>
      </w:r>
      <w:r>
        <w:rPr>
          <w:rFonts w:hint="eastAsia" w:ascii="仿宋_GB2312" w:hAnsi="仿宋_GB2312" w:eastAsia="仿宋_GB2312" w:cs="仿宋_GB2312"/>
          <w:color w:val="000000" w:themeColor="text1"/>
          <w:sz w:val="32"/>
          <w:szCs w:val="32"/>
          <w14:textFill>
            <w14:solidFill>
              <w14:schemeClr w14:val="tx1"/>
            </w14:solidFill>
          </w14:textFill>
        </w:rPr>
        <w:t>万元、政府采购服务支出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851.17</w:t>
      </w:r>
      <w:r>
        <w:rPr>
          <w:rFonts w:hint="eastAsia" w:ascii="仿宋_GB2312" w:hAnsi="仿宋_GB2312" w:eastAsia="仿宋_GB2312" w:cs="仿宋_GB2312"/>
          <w:color w:val="000000" w:themeColor="text1"/>
          <w:sz w:val="32"/>
          <w:szCs w:val="32"/>
          <w14:textFill>
            <w14:solidFill>
              <w14:schemeClr w14:val="tx1"/>
            </w14:solidFill>
          </w14:textFill>
        </w:rPr>
        <w:t>万元。授予中小企业合同金额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2630.51</w:t>
      </w:r>
      <w:r>
        <w:rPr>
          <w:rFonts w:hint="eastAsia" w:ascii="仿宋_GB2312" w:hAnsi="仿宋_GB2312" w:eastAsia="仿宋_GB2312" w:cs="仿宋_GB2312"/>
          <w:color w:val="000000" w:themeColor="text1"/>
          <w:sz w:val="32"/>
          <w:szCs w:val="32"/>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99.82</w:t>
      </w:r>
      <w:r>
        <w:rPr>
          <w:rFonts w:hint="eastAsia" w:ascii="仿宋_GB2312" w:hAnsi="仿宋_GB2312" w:eastAsia="仿宋_GB2312" w:cs="仿宋_GB2312"/>
          <w:color w:val="000000" w:themeColor="text1"/>
          <w:sz w:val="32"/>
          <w:szCs w:val="32"/>
          <w14:textFill>
            <w14:solidFill>
              <w14:schemeClr w14:val="tx1"/>
            </w14:solidFill>
          </w14:textFill>
        </w:rPr>
        <w:t>%，其中：授予小微企业合同金额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4.74</w:t>
      </w:r>
      <w:r>
        <w:rPr>
          <w:rFonts w:hint="eastAsia" w:ascii="仿宋_GB2312" w:hAnsi="仿宋_GB2312" w:eastAsia="仿宋_GB2312" w:cs="仿宋_GB2312"/>
          <w:color w:val="000000" w:themeColor="text1"/>
          <w:sz w:val="32"/>
          <w:szCs w:val="32"/>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0.18</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2019年期末，我部门共有车辆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辆、离退休干部用</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D21E79"/>
    <w:multiLevelType w:val="singleLevel"/>
    <w:tmpl w:val="B2D21E79"/>
    <w:lvl w:ilvl="0" w:tentative="0">
      <w:start w:val="1"/>
      <w:numFmt w:val="decimal"/>
      <w:suff w:val="nothing"/>
      <w:lvlText w:val="%1．"/>
      <w:lvlJc w:val="left"/>
    </w:lvl>
  </w:abstractNum>
  <w:abstractNum w:abstractNumId="1">
    <w:nsid w:val="3D9EA757"/>
    <w:multiLevelType w:val="singleLevel"/>
    <w:tmpl w:val="3D9EA757"/>
    <w:lvl w:ilvl="0" w:tentative="0">
      <w:start w:val="2"/>
      <w:numFmt w:val="chineseCounting"/>
      <w:suff w:val="space"/>
      <w:lvlText w:val="第%1部分"/>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7C"/>
    <w:rsid w:val="001467FA"/>
    <w:rsid w:val="00A50876"/>
    <w:rsid w:val="00A57B7C"/>
    <w:rsid w:val="00B4121A"/>
    <w:rsid w:val="00B928C1"/>
    <w:rsid w:val="00D36DEE"/>
    <w:rsid w:val="00E55E14"/>
    <w:rsid w:val="01A328F9"/>
    <w:rsid w:val="09903433"/>
    <w:rsid w:val="0DCA145E"/>
    <w:rsid w:val="0FD0459D"/>
    <w:rsid w:val="11EE4B37"/>
    <w:rsid w:val="133C3249"/>
    <w:rsid w:val="15D0458A"/>
    <w:rsid w:val="1934100A"/>
    <w:rsid w:val="1A315BD4"/>
    <w:rsid w:val="1E6E4C03"/>
    <w:rsid w:val="1F0008FD"/>
    <w:rsid w:val="1FC45F24"/>
    <w:rsid w:val="247A54E1"/>
    <w:rsid w:val="28B70866"/>
    <w:rsid w:val="299E12E8"/>
    <w:rsid w:val="29E04DB0"/>
    <w:rsid w:val="2A125994"/>
    <w:rsid w:val="2BD136CB"/>
    <w:rsid w:val="3015734F"/>
    <w:rsid w:val="31C02EA7"/>
    <w:rsid w:val="329B6A2A"/>
    <w:rsid w:val="33C645AF"/>
    <w:rsid w:val="340F44DF"/>
    <w:rsid w:val="3641575A"/>
    <w:rsid w:val="3951185B"/>
    <w:rsid w:val="3C227AE4"/>
    <w:rsid w:val="3CD2116C"/>
    <w:rsid w:val="3E762A44"/>
    <w:rsid w:val="432B2CF0"/>
    <w:rsid w:val="440F4CEC"/>
    <w:rsid w:val="49111FC6"/>
    <w:rsid w:val="4AA81EB7"/>
    <w:rsid w:val="4B8C50FC"/>
    <w:rsid w:val="4CC369BE"/>
    <w:rsid w:val="4E907594"/>
    <w:rsid w:val="52B92343"/>
    <w:rsid w:val="53431DEC"/>
    <w:rsid w:val="53DC4CBC"/>
    <w:rsid w:val="54EB0A4B"/>
    <w:rsid w:val="58E3591D"/>
    <w:rsid w:val="58FB5690"/>
    <w:rsid w:val="5AFD1F70"/>
    <w:rsid w:val="5BF1379B"/>
    <w:rsid w:val="5E110E7C"/>
    <w:rsid w:val="5ED87CFB"/>
    <w:rsid w:val="6340798E"/>
    <w:rsid w:val="6354058B"/>
    <w:rsid w:val="67BF1FAE"/>
    <w:rsid w:val="67C77B38"/>
    <w:rsid w:val="681C11C0"/>
    <w:rsid w:val="68D44EA7"/>
    <w:rsid w:val="68EF7E60"/>
    <w:rsid w:val="6BBF3B2F"/>
    <w:rsid w:val="718A1E81"/>
    <w:rsid w:val="726E0696"/>
    <w:rsid w:val="756C534D"/>
    <w:rsid w:val="75D570AC"/>
    <w:rsid w:val="762566E2"/>
    <w:rsid w:val="79DD1BB6"/>
    <w:rsid w:val="7DE6680F"/>
    <w:rsid w:val="7E59575B"/>
    <w:rsid w:val="7F44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738</Words>
  <Characters>4207</Characters>
  <Lines>35</Lines>
  <Paragraphs>9</Paragraphs>
  <TotalTime>24</TotalTime>
  <ScaleCrop>false</ScaleCrop>
  <LinksUpToDate>false</LinksUpToDate>
  <CharactersWithSpaces>4936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2020-08-13T08:26:00Z</dcterms:created>
  <dc:creator>河南省开封市金明实验小学</dc:creator>
  <cp:lastModifiedBy>开心麻花儿</cp:lastModifiedBy>
  <dcterms:modified xsi:type="dcterms:W3CDTF">2021-05-24T10:13:18Z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F8054604F68348C8B21C15CBFDCC9D82</vt:lpwstr>
  </property>
</Properties>
</file>