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2019年度</w:t>
      </w: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新乡经济技术开发区</w:t>
      </w:r>
    </w:p>
    <w:p>
      <w:pPr>
        <w:jc w:val="center"/>
        <w:rPr>
          <w:rFonts w:ascii="黑体" w:hAnsi="黑体" w:eastAsia="黑体" w:cs="黑体"/>
          <w:sz w:val="52"/>
          <w:szCs w:val="52"/>
        </w:rPr>
      </w:pPr>
      <w:r>
        <w:rPr>
          <w:rFonts w:hint="eastAsia" w:ascii="黑体" w:hAnsi="黑体" w:eastAsia="黑体" w:cs="黑体"/>
          <w:sz w:val="52"/>
          <w:szCs w:val="52"/>
        </w:rPr>
        <w:t>社会治安综合治理办公室部门决算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二〇二〇年八月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经开区综治办概况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经开区综治办2019年度部门决算表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经开区综治办2019年度部门决算情况说明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5" w:type="default"/>
          <w:footerReference r:id="rId6"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rPr>
          <w:rFonts w:ascii="黑体" w:hAnsi="宋体" w:eastAsia="黑体" w:cs="宋体"/>
          <w:kern w:val="0"/>
          <w:sz w:val="28"/>
          <w:szCs w:val="28"/>
        </w:rPr>
      </w:pPr>
      <w:r>
        <w:rPr>
          <w:rFonts w:hint="eastAsia" w:ascii="黑体" w:hAnsi="黑体" w:eastAsia="黑体" w:cs="黑体"/>
          <w:sz w:val="48"/>
          <w:szCs w:val="48"/>
        </w:rPr>
        <w:t>第一部分　综治办概况</w:t>
      </w:r>
    </w:p>
    <w:p>
      <w:pPr>
        <w:widowControl/>
        <w:outlineLvl w:val="0"/>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outlineLvl w:val="1"/>
        <w:rPr>
          <w:rFonts w:ascii="黑体" w:hAnsi="黑体" w:eastAsia="黑体" w:cs="黑体"/>
          <w:kern w:val="0"/>
          <w:sz w:val="32"/>
          <w:szCs w:val="32"/>
        </w:rPr>
      </w:pPr>
    </w:p>
    <w:p>
      <w:pPr>
        <w:widowControl/>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邪教防范：负责有关防范和处理相关邪教和对社会有危害气功组织问题的调查研究；搜集掌握区域内邪教组织活动动态方面的情报信息；协调和指导本地有关防范和处理邪教组织问题工作，依法打击利用邪教组织的非法活动和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维稳监督：掌握全区稳定工作情况；负责对中央、省委、市委关于稳定工作的重要部署进行督促检查；协调处理稳定工作中的重大问题；负责稳定工作领导责任制的检查；负责组织全区社会稳定风险评估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（3）信访接待：依法按程序接待受理群众来信、接待工作，办理群众举报事项，维护群众合法权益,协助领导做好接访约访工作；向信访人提供信访法律咨询和完成依法应当履行的其它职责。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信访事项催查催办：负责上级有关部门及领导交办的信访案件的承办、转办、督办信访人提出的信访事项；组织开展社会矛盾纠纷排查调处工作；督促检查信访事项的处理，积极做好辖区的社会稳定等工作；对本级其他工作部门和下级信访工作机构的信访工作进行指导、培训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（5）社会治安综合治理：研究制定本辖区社会治安综合治理工作计划，并组织实施；扎实开展基层平安创建活动，抓好长效管理；认真做好辖区内各社区社会治安综合治理目标管理签订、检查、考核工作。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治安排查：及时排查治安混乱和突出治安问题，组织、协调有关部门开展“严打”整治专项斗争和重点治理工作；积极开展矛盾纠纷排查调处工作，预防和减少重大矛盾纠纷和群体性事件发生；负责诉调对接工作。</w:t>
      </w:r>
    </w:p>
    <w:p>
      <w:pPr>
        <w:ind w:firstLine="642"/>
        <w:rPr>
          <w:rFonts w:ascii="华文仿宋" w:hAnsi="华文仿宋" w:eastAsia="华文仿宋" w:cs="华文仿宋"/>
          <w:sz w:val="32"/>
          <w:szCs w:val="32"/>
        </w:rPr>
      </w:pPr>
      <w:r>
        <w:rPr>
          <w:rFonts w:hint="eastAsia" w:ascii="仿宋_GB2312" w:hAnsi="仿宋_GB2312" w:eastAsia="仿宋_GB2312" w:cs="仿宋_GB2312"/>
          <w:sz w:val="32"/>
          <w:szCs w:val="32"/>
        </w:rPr>
        <w:t>（7）其他工作：协助相关部门做好招商引资和项目服务工作；承担区党工委、管委会交办的其他工作。</w:t>
      </w:r>
    </w:p>
    <w:p>
      <w:pPr>
        <w:widowControl/>
        <w:ind w:firstLine="640" w:firstLineChars="200"/>
        <w:jc w:val="left"/>
        <w:rPr>
          <w:rFonts w:ascii="仿宋_GB2312" w:hAnsi="仿宋_GB2312" w:eastAsia="仿宋_GB2312" w:cs="仿宋_GB2312"/>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综治办内设机构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从决算单位构成看，综治办部门决算包括：本级决算。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纳入本部门2019年度部门决算编制范围的单位共1个，其中二级预算单位0个，具体是：局机关1个，无二级、三级预算单位。</w:t>
      </w:r>
    </w:p>
    <w:p>
      <w:pPr>
        <w:widowControl/>
        <w:ind w:firstLine="640" w:firstLineChars="200"/>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48"/>
          <w:szCs w:val="48"/>
        </w:rPr>
      </w:pPr>
      <w:r>
        <w:rPr>
          <w:rFonts w:hint="eastAsia" w:ascii="黑体" w:hAnsi="黑体" w:eastAsia="黑体" w:cs="黑体"/>
          <w:sz w:val="48"/>
          <w:szCs w:val="48"/>
        </w:rPr>
        <w:t>第二部分</w:t>
      </w:r>
    </w:p>
    <w:p>
      <w:pPr>
        <w:jc w:val="center"/>
        <w:outlineLvl w:val="0"/>
        <w:rPr>
          <w:rFonts w:ascii="黑体" w:hAnsi="黑体" w:eastAsia="黑体" w:cs="黑体"/>
          <w:sz w:val="48"/>
          <w:szCs w:val="48"/>
        </w:rPr>
      </w:pPr>
      <w:r>
        <w:rPr>
          <w:rFonts w:hint="eastAsia" w:ascii="黑体" w:hAnsi="黑体" w:eastAsia="黑体" w:cs="黑体"/>
          <w:sz w:val="48"/>
          <w:szCs w:val="48"/>
        </w:rPr>
        <w:t>综治办2019年度部门决算</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tabs>
          <w:tab w:val="left" w:pos="5422"/>
        </w:tabs>
        <w:jc w:val="left"/>
      </w:pPr>
      <w:bookmarkStart w:id="0" w:name="_GoBack"/>
      <w:bookmarkEnd w:id="0"/>
      <w:r>
        <w:drawing>
          <wp:inline distT="0" distB="0" distL="114300" distR="114300">
            <wp:extent cx="4626610" cy="5267960"/>
            <wp:effectExtent l="0" t="0" r="2540" b="889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8"/>
                    <a:stretch>
                      <a:fillRect/>
                    </a:stretch>
                  </pic:blipFill>
                  <pic:spPr>
                    <a:xfrm>
                      <a:off x="0" y="0"/>
                      <a:ext cx="4626610" cy="5267960"/>
                    </a:xfrm>
                    <a:prstGeom prst="rect">
                      <a:avLst/>
                    </a:prstGeom>
                    <a:noFill/>
                    <a:ln w="9525">
                      <a:noFill/>
                    </a:ln>
                  </pic:spPr>
                </pic:pic>
              </a:graphicData>
            </a:graphic>
          </wp:inline>
        </w:drawing>
      </w:r>
    </w:p>
    <w:p>
      <w:pPr>
        <w:tabs>
          <w:tab w:val="left" w:pos="5422"/>
        </w:tabs>
        <w:jc w:val="left"/>
      </w:pPr>
      <w:r>
        <w:drawing>
          <wp:inline distT="0" distB="0" distL="114300" distR="114300">
            <wp:extent cx="5392420" cy="5270500"/>
            <wp:effectExtent l="0" t="0" r="17780" b="635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9"/>
                    <a:stretch>
                      <a:fillRect/>
                    </a:stretch>
                  </pic:blipFill>
                  <pic:spPr>
                    <a:xfrm>
                      <a:off x="0" y="0"/>
                      <a:ext cx="5392420" cy="5270500"/>
                    </a:xfrm>
                    <a:prstGeom prst="rect">
                      <a:avLst/>
                    </a:prstGeom>
                    <a:noFill/>
                    <a:ln w="9525">
                      <a:noFill/>
                    </a:ln>
                  </pic:spPr>
                </pic:pic>
              </a:graphicData>
            </a:graphic>
          </wp:inline>
        </w:drawing>
      </w:r>
    </w:p>
    <w:p>
      <w:pPr>
        <w:tabs>
          <w:tab w:val="left" w:pos="5422"/>
        </w:tabs>
        <w:jc w:val="left"/>
      </w:pPr>
      <w:r>
        <w:drawing>
          <wp:inline distT="0" distB="0" distL="114300" distR="114300">
            <wp:extent cx="5116195" cy="5270500"/>
            <wp:effectExtent l="0" t="0" r="8255" b="635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0"/>
                    <a:stretch>
                      <a:fillRect/>
                    </a:stretch>
                  </pic:blipFill>
                  <pic:spPr>
                    <a:xfrm>
                      <a:off x="0" y="0"/>
                      <a:ext cx="5116195" cy="5270500"/>
                    </a:xfrm>
                    <a:prstGeom prst="rect">
                      <a:avLst/>
                    </a:prstGeom>
                    <a:noFill/>
                    <a:ln w="9525">
                      <a:noFill/>
                    </a:ln>
                  </pic:spPr>
                </pic:pic>
              </a:graphicData>
            </a:graphic>
          </wp:inline>
        </w:drawing>
      </w:r>
    </w:p>
    <w:p>
      <w:pPr>
        <w:tabs>
          <w:tab w:val="left" w:pos="5422"/>
        </w:tabs>
        <w:jc w:val="left"/>
      </w:pPr>
      <w:r>
        <w:drawing>
          <wp:inline distT="0" distB="0" distL="114300" distR="114300">
            <wp:extent cx="4908550" cy="5271770"/>
            <wp:effectExtent l="0" t="0" r="6350" b="508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1"/>
                    <a:stretch>
                      <a:fillRect/>
                    </a:stretch>
                  </pic:blipFill>
                  <pic:spPr>
                    <a:xfrm>
                      <a:off x="0" y="0"/>
                      <a:ext cx="4908550" cy="5271770"/>
                    </a:xfrm>
                    <a:prstGeom prst="rect">
                      <a:avLst/>
                    </a:prstGeom>
                    <a:noFill/>
                    <a:ln w="9525">
                      <a:noFill/>
                    </a:ln>
                  </pic:spPr>
                </pic:pic>
              </a:graphicData>
            </a:graphic>
          </wp:inline>
        </w:drawing>
      </w:r>
    </w:p>
    <w:p>
      <w:pPr>
        <w:tabs>
          <w:tab w:val="left" w:pos="5422"/>
        </w:tabs>
        <w:jc w:val="left"/>
      </w:pPr>
      <w:r>
        <w:drawing>
          <wp:inline distT="0" distB="0" distL="114300" distR="114300">
            <wp:extent cx="3806190" cy="5270500"/>
            <wp:effectExtent l="0" t="0" r="3810" b="635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2"/>
                    <a:stretch>
                      <a:fillRect/>
                    </a:stretch>
                  </pic:blipFill>
                  <pic:spPr>
                    <a:xfrm>
                      <a:off x="0" y="0"/>
                      <a:ext cx="3806190" cy="5270500"/>
                    </a:xfrm>
                    <a:prstGeom prst="rect">
                      <a:avLst/>
                    </a:prstGeom>
                    <a:noFill/>
                    <a:ln w="9525">
                      <a:noFill/>
                    </a:ln>
                  </pic:spPr>
                </pic:pic>
              </a:graphicData>
            </a:graphic>
          </wp:inline>
        </w:drawing>
      </w:r>
    </w:p>
    <w:p>
      <w:pPr>
        <w:tabs>
          <w:tab w:val="left" w:pos="5422"/>
        </w:tabs>
        <w:jc w:val="left"/>
      </w:pPr>
      <w:r>
        <w:drawing>
          <wp:inline distT="0" distB="0" distL="114300" distR="114300">
            <wp:extent cx="6077585" cy="5270500"/>
            <wp:effectExtent l="0" t="0" r="18415" b="635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3"/>
                    <a:stretch>
                      <a:fillRect/>
                    </a:stretch>
                  </pic:blipFill>
                  <pic:spPr>
                    <a:xfrm>
                      <a:off x="0" y="0"/>
                      <a:ext cx="6077585" cy="5270500"/>
                    </a:xfrm>
                    <a:prstGeom prst="rect">
                      <a:avLst/>
                    </a:prstGeom>
                    <a:noFill/>
                    <a:ln w="9525">
                      <a:noFill/>
                    </a:ln>
                  </pic:spPr>
                </pic:pic>
              </a:graphicData>
            </a:graphic>
          </wp:inline>
        </w:drawing>
      </w:r>
    </w:p>
    <w:p>
      <w:pPr>
        <w:tabs>
          <w:tab w:val="left" w:pos="5422"/>
        </w:tabs>
        <w:jc w:val="left"/>
      </w:pPr>
      <w:r>
        <w:drawing>
          <wp:inline distT="0" distB="0" distL="114300" distR="114300">
            <wp:extent cx="7238365" cy="2457450"/>
            <wp:effectExtent l="0" t="0" r="635" b="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4"/>
                    <a:stretch>
                      <a:fillRect/>
                    </a:stretch>
                  </pic:blipFill>
                  <pic:spPr>
                    <a:xfrm>
                      <a:off x="0" y="0"/>
                      <a:ext cx="7238365" cy="2457450"/>
                    </a:xfrm>
                    <a:prstGeom prst="rect">
                      <a:avLst/>
                    </a:prstGeom>
                    <a:noFill/>
                    <a:ln w="9525">
                      <a:noFill/>
                    </a:ln>
                  </pic:spPr>
                </pic:pic>
              </a:graphicData>
            </a:graphic>
          </wp:inline>
        </w:drawing>
      </w: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r>
        <w:drawing>
          <wp:inline distT="0" distB="0" distL="114300" distR="114300">
            <wp:extent cx="7352665" cy="3133090"/>
            <wp:effectExtent l="0" t="0" r="635" b="10160"/>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5"/>
                    <a:stretch>
                      <a:fillRect/>
                    </a:stretch>
                  </pic:blipFill>
                  <pic:spPr>
                    <a:xfrm>
                      <a:off x="0" y="0"/>
                      <a:ext cx="7352665" cy="3133090"/>
                    </a:xfrm>
                    <a:prstGeom prst="rect">
                      <a:avLst/>
                    </a:prstGeom>
                    <a:noFill/>
                    <a:ln w="9525">
                      <a:noFill/>
                    </a:ln>
                  </pic:spPr>
                </pic:pic>
              </a:graphicData>
            </a:graphic>
          </wp:inline>
        </w:drawing>
      </w: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tabs>
          <w:tab w:val="left" w:pos="5422"/>
        </w:tabs>
        <w:jc w:val="left"/>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center"/>
        <w:rPr>
          <w:rFonts w:ascii="黑体" w:hAnsi="黑体" w:eastAsia="黑体" w:cs="黑体"/>
          <w:sz w:val="48"/>
          <w:szCs w:val="48"/>
        </w:rPr>
        <w:sectPr>
          <w:pgSz w:w="16838" w:h="11906" w:orient="landscape"/>
          <w:pgMar w:top="1800" w:right="1440" w:bottom="1800" w:left="144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eastAsia="仿宋_GB2312"/>
          <w:color w:val="444444"/>
          <w:sz w:val="32"/>
          <w:szCs w:val="32"/>
        </w:rPr>
        <w:t>2019年度收入、支出总计均为928.82万元。与上年度相比，</w:t>
      </w:r>
      <w:r>
        <w:rPr>
          <w:rFonts w:hint="eastAsia" w:ascii="仿宋_GB2312" w:hAnsi="仿宋_GB2312" w:eastAsia="仿宋_GB2312" w:cs="仿宋_GB2312"/>
          <w:sz w:val="32"/>
          <w:szCs w:val="32"/>
        </w:rPr>
        <w:t>收、支总计各</w:t>
      </w:r>
      <w:r>
        <w:rPr>
          <w:rFonts w:hint="eastAsia" w:ascii="仿宋_GB2312" w:eastAsia="仿宋_GB2312"/>
          <w:color w:val="444444"/>
          <w:sz w:val="32"/>
          <w:szCs w:val="32"/>
        </w:rPr>
        <w:t>增加280.48万元，增长43.26%。主要原因是</w:t>
      </w:r>
      <w:r>
        <w:rPr>
          <w:rFonts w:hint="eastAsia" w:ascii="仿宋_GB2312" w:eastAsia="仿宋_GB2312"/>
          <w:sz w:val="32"/>
          <w:szCs w:val="32"/>
        </w:rPr>
        <w:t>视频监控系统建设项目、公共安全项目、城乡社区支出、</w:t>
      </w:r>
      <w:r>
        <w:rPr>
          <w:rFonts w:hint="eastAsia" w:ascii="仿宋_GB2312" w:eastAsia="仿宋_GB2312"/>
          <w:color w:val="444444"/>
          <w:sz w:val="32"/>
          <w:szCs w:val="32"/>
        </w:rPr>
        <w:t>机关事业单位基本养老保险缴费支出较2018年增幅较大。</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eastAsia="仿宋_GB2312"/>
          <w:color w:val="444444"/>
          <w:sz w:val="32"/>
          <w:szCs w:val="32"/>
        </w:rPr>
        <w:t>2019年度收入合计718.21万元，其中：财政拨款收入718.21万元，占100%；</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color w:val="444444"/>
          <w:sz w:val="32"/>
          <w:szCs w:val="32"/>
        </w:rPr>
        <w:t>2019年度支出合计922.79万元，其中：基本支出168.93万元，占18.31%；项目支出753.86万元，占81.69%；</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2019年度财政拨款收、支总计均为928.82万元。</w:t>
      </w:r>
      <w:r>
        <w:rPr>
          <w:rFonts w:hint="eastAsia" w:ascii="仿宋_GB2312" w:eastAsia="仿宋_GB2312"/>
          <w:color w:val="444444"/>
          <w:sz w:val="32"/>
          <w:szCs w:val="32"/>
        </w:rPr>
        <w:t>与上年度相比，财政拨款</w:t>
      </w:r>
      <w:r>
        <w:rPr>
          <w:rFonts w:hint="eastAsia" w:ascii="仿宋_GB2312" w:hAnsi="仿宋_GB2312" w:eastAsia="仿宋_GB2312" w:cs="仿宋_GB2312"/>
          <w:sz w:val="32"/>
          <w:szCs w:val="32"/>
        </w:rPr>
        <w:t>收、支总计各</w:t>
      </w:r>
      <w:r>
        <w:rPr>
          <w:rFonts w:hint="eastAsia" w:ascii="仿宋_GB2312" w:eastAsia="仿宋_GB2312"/>
          <w:color w:val="444444"/>
          <w:sz w:val="32"/>
          <w:szCs w:val="32"/>
        </w:rPr>
        <w:t>增加280.48万元，增长43.26%。主要原因是</w:t>
      </w:r>
      <w:r>
        <w:rPr>
          <w:rFonts w:hint="eastAsia" w:ascii="仿宋_GB2312" w:eastAsia="仿宋_GB2312"/>
          <w:sz w:val="32"/>
          <w:szCs w:val="32"/>
        </w:rPr>
        <w:t>视频监控系统建设项目、公共安全项目、城乡社区支出</w:t>
      </w:r>
      <w:r>
        <w:rPr>
          <w:rFonts w:hint="eastAsia" w:ascii="仿宋_GB2312" w:eastAsia="仿宋_GB2312"/>
          <w:color w:val="444444"/>
          <w:sz w:val="32"/>
          <w:szCs w:val="32"/>
        </w:rPr>
        <w:t>机关事业单位基本养老保险缴费支出较2018年增幅较大。</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2019年度一般公共预算财政拨款支出922.79万元，占本年支出合计的99.35%。与上年度相比，一般公共预算财政拨款支出增加477.89万元，增长107.42%。主要原因是</w:t>
      </w:r>
      <w:r>
        <w:rPr>
          <w:rFonts w:hint="eastAsia" w:ascii="仿宋_GB2312" w:eastAsia="仿宋_GB2312"/>
          <w:sz w:val="32"/>
          <w:szCs w:val="32"/>
        </w:rPr>
        <w:t>视频监控系统建设项目、公共安全项目、城乡社区支出、</w:t>
      </w:r>
      <w:r>
        <w:rPr>
          <w:rFonts w:hint="eastAsia" w:ascii="仿宋_GB2312" w:eastAsia="仿宋_GB2312"/>
          <w:color w:val="444444"/>
          <w:sz w:val="32"/>
          <w:szCs w:val="32"/>
        </w:rPr>
        <w:t>机关事业单位基本养老保险缴费支出较2018年增幅较大。</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2019年度一般公共预算财政拨款支出922.79万元，主要用于以下方面：一般公共服务（类）支出415.35万元，占45.01%；公共安全支出317.82万元，占34.44%；</w:t>
      </w:r>
      <w:r>
        <w:rPr>
          <w:rFonts w:hint="eastAsia" w:ascii="仿宋_GB2312" w:eastAsia="仿宋_GB2312"/>
          <w:sz w:val="32"/>
          <w:szCs w:val="32"/>
        </w:rPr>
        <w:t>城乡社区支出176.58万元，占19.14%；</w:t>
      </w:r>
      <w:r>
        <w:rPr>
          <w:rFonts w:hint="eastAsia" w:ascii="仿宋_GB2312" w:hAnsi="仿宋_GB2312" w:eastAsia="仿宋_GB2312" w:cs="仿宋_GB2312"/>
          <w:sz w:val="32"/>
          <w:szCs w:val="32"/>
        </w:rPr>
        <w:t>社会保障与就业、卫生健康支出13.04万元，占1.41%。</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2019年度一般公共预算财政拨款支出年初预算为</w:t>
      </w:r>
      <w:r>
        <w:rPr>
          <w:rFonts w:hint="eastAsia" w:ascii="仿宋_GB2312" w:hAnsi="仿宋_GB2312" w:eastAsia="仿宋_GB2312" w:cs="仿宋_GB2312"/>
          <w:sz w:val="32"/>
          <w:szCs w:val="32"/>
          <w:lang w:val="en-US" w:eastAsia="zh-CN"/>
        </w:rPr>
        <w:t>772.54</w:t>
      </w:r>
      <w:r>
        <w:rPr>
          <w:rFonts w:hint="eastAsia" w:ascii="仿宋_GB2312" w:hAnsi="仿宋_GB2312" w:eastAsia="仿宋_GB2312" w:cs="仿宋_GB2312"/>
          <w:sz w:val="32"/>
          <w:szCs w:val="32"/>
        </w:rPr>
        <w:t>万元，支出决算为922.79万元，完成年初预算的1</w:t>
      </w:r>
      <w:r>
        <w:rPr>
          <w:rFonts w:hint="eastAsia" w:ascii="仿宋_GB2312" w:hAnsi="仿宋_GB2312" w:eastAsia="仿宋_GB2312" w:cs="仿宋_GB2312"/>
          <w:sz w:val="32"/>
          <w:szCs w:val="32"/>
          <w:lang w:val="en-US" w:eastAsia="zh-CN"/>
        </w:rPr>
        <w:t>19.45</w:t>
      </w:r>
      <w:r>
        <w:rPr>
          <w:rFonts w:hint="eastAsia" w:ascii="仿宋_GB2312" w:hAnsi="仿宋_GB2312" w:eastAsia="仿宋_GB2312" w:cs="仿宋_GB2312"/>
          <w:sz w:val="32"/>
          <w:szCs w:val="32"/>
        </w:rPr>
        <w:t>%。其中：</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eastAsia="仿宋_GB2312"/>
          <w:b/>
          <w:bCs/>
          <w:color w:val="auto"/>
          <w:sz w:val="32"/>
          <w:szCs w:val="32"/>
        </w:rPr>
        <w:t xml:space="preserve">一般公共服务支出（类）政府办公厅（室）及相关机构事务（款） </w:t>
      </w:r>
      <w:r>
        <w:rPr>
          <w:rFonts w:hint="eastAsia" w:ascii="仿宋_GB2312" w:eastAsia="仿宋_GB2312"/>
          <w:b/>
          <w:bCs/>
          <w:color w:val="auto"/>
          <w:sz w:val="32"/>
          <w:szCs w:val="32"/>
          <w:lang w:eastAsia="zh-CN"/>
        </w:rPr>
        <w:t>行政运行</w:t>
      </w:r>
      <w:r>
        <w:rPr>
          <w:rFonts w:hint="eastAsia" w:ascii="仿宋_GB2312" w:eastAsia="仿宋_GB2312"/>
          <w:b/>
          <w:bCs/>
          <w:color w:val="auto"/>
          <w:sz w:val="32"/>
          <w:szCs w:val="32"/>
        </w:rPr>
        <w:t>（项）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145.44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155.89</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107.19</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由于新增工作人员，运行费用增加</w:t>
      </w:r>
      <w:r>
        <w:rPr>
          <w:rFonts w:hint="eastAsia" w:ascii="仿宋_GB2312" w:hAnsi="仿宋_GB2312" w:eastAsia="仿宋_GB2312" w:cs="仿宋_GB2312"/>
          <w:color w:val="auto"/>
          <w:sz w:val="32"/>
          <w:szCs w:val="32"/>
        </w:rPr>
        <w:t>。</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eastAsia="仿宋_GB2312"/>
          <w:b/>
          <w:bCs/>
          <w:color w:val="auto"/>
          <w:sz w:val="32"/>
          <w:szCs w:val="32"/>
        </w:rPr>
        <w:t>一般公共服务支出（类）政府办公厅（室）及相关机构事务（款）</w:t>
      </w:r>
      <w:r>
        <w:rPr>
          <w:rFonts w:hint="eastAsia" w:ascii="仿宋_GB2312" w:eastAsia="仿宋_GB2312"/>
          <w:b/>
          <w:bCs/>
          <w:color w:val="auto"/>
          <w:sz w:val="32"/>
          <w:szCs w:val="32"/>
          <w:lang w:eastAsia="zh-CN"/>
        </w:rPr>
        <w:t>信访事务</w:t>
      </w:r>
      <w:r>
        <w:rPr>
          <w:rFonts w:hint="eastAsia" w:ascii="仿宋_GB2312" w:eastAsia="仿宋_GB2312"/>
          <w:b/>
          <w:bCs/>
          <w:color w:val="auto"/>
          <w:sz w:val="32"/>
          <w:szCs w:val="32"/>
        </w:rPr>
        <w:t>（项）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47.00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223.47</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475.47</w:t>
      </w:r>
      <w:r>
        <w:rPr>
          <w:rFonts w:hint="eastAsia" w:ascii="仿宋_GB2312" w:hAnsi="仿宋_GB2312" w:eastAsia="仿宋_GB2312" w:cs="仿宋_GB2312"/>
          <w:color w:val="auto"/>
          <w:sz w:val="32"/>
          <w:szCs w:val="32"/>
        </w:rPr>
        <w:t>%。决算数与年初预算数存在差异的主要原因是支出金额包含上年结转资金。</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eastAsia="仿宋_GB2312"/>
          <w:b/>
          <w:bCs/>
          <w:color w:val="auto"/>
          <w:sz w:val="32"/>
          <w:szCs w:val="32"/>
        </w:rPr>
        <w:t>一般公共服务支出（类）政府办公厅（室）及相关机构事务（款）</w:t>
      </w:r>
      <w:r>
        <w:rPr>
          <w:rFonts w:hint="eastAsia" w:ascii="仿宋_GB2312" w:eastAsia="仿宋_GB2312"/>
          <w:b/>
          <w:bCs/>
          <w:color w:val="auto"/>
          <w:sz w:val="32"/>
          <w:szCs w:val="32"/>
          <w:lang w:eastAsia="zh-CN"/>
        </w:rPr>
        <w:t>其他政府办公厅（室）及相关机构事务支出</w:t>
      </w:r>
      <w:r>
        <w:rPr>
          <w:rFonts w:hint="eastAsia" w:ascii="仿宋_GB2312" w:eastAsia="仿宋_GB2312"/>
          <w:b/>
          <w:bCs/>
          <w:color w:val="auto"/>
          <w:sz w:val="32"/>
          <w:szCs w:val="32"/>
        </w:rPr>
        <w:t>（项）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36.95</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35.99</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97.40</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四舍五入尾数出入。</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eastAsia="仿宋_GB2312"/>
          <w:b/>
          <w:bCs/>
          <w:color w:val="auto"/>
          <w:sz w:val="32"/>
          <w:szCs w:val="32"/>
          <w:lang w:eastAsia="zh-CN"/>
        </w:rPr>
        <w:t>公共安全支出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公安</w:t>
      </w:r>
      <w:r>
        <w:rPr>
          <w:rFonts w:hint="eastAsia" w:ascii="仿宋_GB2312" w:eastAsia="仿宋_GB2312"/>
          <w:b/>
          <w:bCs/>
          <w:color w:val="auto"/>
          <w:sz w:val="32"/>
          <w:szCs w:val="32"/>
        </w:rPr>
        <w:t>（款）</w:t>
      </w:r>
      <w:r>
        <w:rPr>
          <w:rFonts w:hint="eastAsia" w:ascii="仿宋_GB2312" w:eastAsia="仿宋_GB2312"/>
          <w:b/>
          <w:bCs/>
          <w:color w:val="auto"/>
          <w:sz w:val="32"/>
          <w:szCs w:val="32"/>
          <w:lang w:eastAsia="zh-CN"/>
        </w:rPr>
        <w:t>其他公安支出</w:t>
      </w:r>
      <w:r>
        <w:rPr>
          <w:rFonts w:hint="eastAsia" w:ascii="仿宋_GB2312" w:eastAsia="仿宋_GB2312"/>
          <w:b/>
          <w:bCs/>
          <w:color w:val="auto"/>
          <w:sz w:val="32"/>
          <w:szCs w:val="32"/>
        </w:rPr>
        <w:t>（项）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285.00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314.84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110.47</w:t>
      </w:r>
      <w:r>
        <w:rPr>
          <w:rFonts w:hint="eastAsia" w:ascii="仿宋_GB2312" w:hAnsi="仿宋_GB2312" w:eastAsia="仿宋_GB2312" w:cs="仿宋_GB2312"/>
          <w:color w:val="auto"/>
          <w:sz w:val="32"/>
          <w:szCs w:val="32"/>
        </w:rPr>
        <w:t>%。决算数与年初预算数存在差异的主要原因是支出金额包含上年结转资金。</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eastAsia="仿宋_GB2312"/>
          <w:b/>
          <w:bCs/>
          <w:color w:val="auto"/>
          <w:sz w:val="32"/>
          <w:szCs w:val="32"/>
          <w:lang w:eastAsia="zh-CN"/>
        </w:rPr>
        <w:t>公共安全支出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国家安全</w:t>
      </w:r>
      <w:r>
        <w:rPr>
          <w:rFonts w:hint="eastAsia" w:ascii="仿宋_GB2312" w:eastAsia="仿宋_GB2312"/>
          <w:b/>
          <w:bCs/>
          <w:color w:val="auto"/>
          <w:sz w:val="32"/>
          <w:szCs w:val="32"/>
        </w:rPr>
        <w:t>（款）</w:t>
      </w:r>
      <w:r>
        <w:rPr>
          <w:rFonts w:hint="eastAsia" w:ascii="仿宋_GB2312" w:eastAsia="仿宋_GB2312"/>
          <w:b/>
          <w:bCs/>
          <w:color w:val="auto"/>
          <w:sz w:val="32"/>
          <w:szCs w:val="32"/>
          <w:lang w:eastAsia="zh-CN"/>
        </w:rPr>
        <w:t>其他国家安全支出</w:t>
      </w:r>
      <w:r>
        <w:rPr>
          <w:rFonts w:hint="eastAsia" w:ascii="仿宋_GB2312" w:eastAsia="仿宋_GB2312"/>
          <w:b/>
          <w:bCs/>
          <w:color w:val="auto"/>
          <w:sz w:val="32"/>
          <w:szCs w:val="32"/>
        </w:rPr>
        <w:t>（项）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3.00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2.98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99.33</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四舍五入尾数出入。</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eastAsia="仿宋_GB2312"/>
          <w:b/>
          <w:bCs/>
          <w:color w:val="auto"/>
          <w:sz w:val="32"/>
          <w:szCs w:val="32"/>
          <w:lang w:eastAsia="zh-CN"/>
        </w:rPr>
        <w:t>社会保障和就业支出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行政事业单位离退休</w:t>
      </w:r>
      <w:r>
        <w:rPr>
          <w:rFonts w:hint="eastAsia" w:ascii="仿宋_GB2312" w:eastAsia="仿宋_GB2312"/>
          <w:b/>
          <w:bCs/>
          <w:color w:val="auto"/>
          <w:sz w:val="32"/>
          <w:szCs w:val="32"/>
        </w:rPr>
        <w:t>（款）</w:t>
      </w:r>
      <w:r>
        <w:rPr>
          <w:rFonts w:hint="eastAsia" w:ascii="仿宋_GB2312" w:eastAsia="仿宋_GB2312"/>
          <w:b/>
          <w:bCs/>
          <w:color w:val="auto"/>
          <w:sz w:val="32"/>
          <w:szCs w:val="32"/>
          <w:lang w:eastAsia="zh-CN"/>
        </w:rPr>
        <w:t>机关事业单位基本养老保险缴费支出</w:t>
      </w:r>
      <w:r>
        <w:rPr>
          <w:rFonts w:hint="eastAsia" w:ascii="仿宋_GB2312" w:eastAsia="仿宋_GB2312"/>
          <w:b/>
          <w:bCs/>
          <w:color w:val="auto"/>
          <w:sz w:val="32"/>
          <w:szCs w:val="32"/>
        </w:rPr>
        <w:t>（项）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8.13</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6.74</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82.90</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eastAsia="仿宋_GB2312"/>
          <w:b/>
          <w:bCs/>
          <w:color w:val="auto"/>
          <w:sz w:val="32"/>
          <w:szCs w:val="32"/>
          <w:lang w:eastAsia="zh-CN"/>
        </w:rPr>
        <w:t>社会保障和就业支出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其他社会保障和就业支出</w:t>
      </w:r>
      <w:r>
        <w:rPr>
          <w:rFonts w:hint="eastAsia" w:ascii="仿宋_GB2312" w:eastAsia="仿宋_GB2312"/>
          <w:b/>
          <w:bCs/>
          <w:color w:val="auto"/>
          <w:sz w:val="32"/>
          <w:szCs w:val="32"/>
        </w:rPr>
        <w:t>（款）</w:t>
      </w:r>
      <w:r>
        <w:rPr>
          <w:rFonts w:hint="eastAsia" w:ascii="仿宋_GB2312" w:eastAsia="仿宋_GB2312"/>
          <w:b/>
          <w:bCs/>
          <w:color w:val="auto"/>
          <w:sz w:val="32"/>
          <w:szCs w:val="32"/>
          <w:lang w:eastAsia="zh-CN"/>
        </w:rPr>
        <w:t>其他社会保障和就业支出</w:t>
      </w:r>
      <w:r>
        <w:rPr>
          <w:rFonts w:hint="eastAsia" w:ascii="仿宋_GB2312" w:eastAsia="仿宋_GB2312"/>
          <w:b/>
          <w:bCs/>
          <w:color w:val="auto"/>
          <w:sz w:val="32"/>
          <w:szCs w:val="32"/>
        </w:rPr>
        <w:t>（项）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0.22</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0.21</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95.45</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eastAsia="仿宋_GB2312"/>
          <w:b/>
          <w:bCs/>
          <w:color w:val="auto"/>
          <w:sz w:val="32"/>
          <w:szCs w:val="32"/>
          <w:lang w:eastAsia="zh-CN"/>
        </w:rPr>
        <w:t>卫生健康支出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行政事业单位医疗</w:t>
      </w:r>
      <w:r>
        <w:rPr>
          <w:rFonts w:hint="eastAsia" w:ascii="仿宋_GB2312" w:eastAsia="仿宋_GB2312"/>
          <w:b/>
          <w:bCs/>
          <w:color w:val="auto"/>
          <w:sz w:val="32"/>
          <w:szCs w:val="32"/>
        </w:rPr>
        <w:t>（款）</w:t>
      </w:r>
      <w:r>
        <w:rPr>
          <w:rFonts w:hint="eastAsia" w:ascii="仿宋_GB2312" w:eastAsia="仿宋_GB2312"/>
          <w:b/>
          <w:bCs/>
          <w:color w:val="auto"/>
          <w:sz w:val="32"/>
          <w:szCs w:val="32"/>
          <w:lang w:eastAsia="zh-CN"/>
        </w:rPr>
        <w:t>行政单位医疗</w:t>
      </w:r>
      <w:r>
        <w:rPr>
          <w:rFonts w:hint="eastAsia" w:ascii="仿宋_GB2312" w:eastAsia="仿宋_GB2312"/>
          <w:b/>
          <w:bCs/>
          <w:color w:val="auto"/>
          <w:sz w:val="32"/>
          <w:szCs w:val="32"/>
        </w:rPr>
        <w:t>（项）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3.40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3.06</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90.00</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eastAsia="仿宋_GB2312"/>
          <w:b/>
          <w:bCs/>
          <w:color w:val="auto"/>
          <w:sz w:val="32"/>
          <w:szCs w:val="32"/>
          <w:lang w:eastAsia="zh-CN"/>
        </w:rPr>
        <w:t>卫生健康支出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行政事业单位医疗</w:t>
      </w:r>
      <w:r>
        <w:rPr>
          <w:rFonts w:hint="eastAsia" w:ascii="仿宋_GB2312" w:eastAsia="仿宋_GB2312"/>
          <w:b/>
          <w:bCs/>
          <w:color w:val="auto"/>
          <w:sz w:val="32"/>
          <w:szCs w:val="32"/>
        </w:rPr>
        <w:t>（款）</w:t>
      </w:r>
      <w:r>
        <w:rPr>
          <w:rFonts w:hint="eastAsia" w:ascii="仿宋_GB2312" w:eastAsia="仿宋_GB2312"/>
          <w:b/>
          <w:bCs/>
          <w:color w:val="auto"/>
          <w:sz w:val="32"/>
          <w:szCs w:val="32"/>
          <w:lang w:eastAsia="zh-CN"/>
        </w:rPr>
        <w:t>公务员医疗补助</w:t>
      </w:r>
      <w:r>
        <w:rPr>
          <w:rFonts w:hint="eastAsia" w:ascii="仿宋_GB2312" w:eastAsia="仿宋_GB2312"/>
          <w:b/>
          <w:bCs/>
          <w:color w:val="auto"/>
          <w:sz w:val="32"/>
          <w:szCs w:val="32"/>
        </w:rPr>
        <w:t>（项）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3.40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3.03</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89.12</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部门人员缴费基数调整</w:t>
      </w:r>
      <w:r>
        <w:rPr>
          <w:rFonts w:hint="eastAsia" w:ascii="仿宋_GB2312" w:hAnsi="仿宋_GB2312" w:eastAsia="仿宋_GB2312" w:cs="仿宋_GB2312"/>
          <w:color w:val="auto"/>
          <w:sz w:val="32"/>
          <w:szCs w:val="32"/>
        </w:rPr>
        <w:t>。</w:t>
      </w:r>
    </w:p>
    <w:p>
      <w:pPr>
        <w:widowControl/>
        <w:numPr>
          <w:ilvl w:val="0"/>
          <w:numId w:val="2"/>
        </w:numPr>
        <w:spacing w:line="590" w:lineRule="exact"/>
        <w:ind w:firstLine="643" w:firstLineChars="200"/>
        <w:rPr>
          <w:rFonts w:ascii="仿宋_GB2312" w:hAnsi="仿宋_GB2312" w:eastAsia="仿宋_GB2312" w:cs="仿宋_GB2312"/>
          <w:color w:val="auto"/>
          <w:sz w:val="32"/>
          <w:szCs w:val="32"/>
        </w:rPr>
      </w:pPr>
      <w:r>
        <w:rPr>
          <w:rFonts w:hint="eastAsia" w:ascii="仿宋_GB2312" w:eastAsia="仿宋_GB2312"/>
          <w:b/>
          <w:bCs/>
          <w:color w:val="auto"/>
          <w:sz w:val="32"/>
          <w:szCs w:val="32"/>
          <w:lang w:eastAsia="zh-CN"/>
        </w:rPr>
        <w:t>城乡社区支出</w:t>
      </w:r>
      <w:r>
        <w:rPr>
          <w:rFonts w:hint="eastAsia" w:ascii="仿宋_GB2312" w:eastAsia="仿宋_GB2312"/>
          <w:b/>
          <w:bCs/>
          <w:color w:val="auto"/>
          <w:sz w:val="32"/>
          <w:szCs w:val="32"/>
        </w:rPr>
        <w:t>（类）</w:t>
      </w:r>
      <w:r>
        <w:rPr>
          <w:rFonts w:hint="eastAsia" w:ascii="仿宋_GB2312" w:eastAsia="仿宋_GB2312"/>
          <w:b/>
          <w:bCs/>
          <w:color w:val="auto"/>
          <w:sz w:val="32"/>
          <w:szCs w:val="32"/>
          <w:lang w:eastAsia="zh-CN"/>
        </w:rPr>
        <w:t>城乡社区公共设施</w:t>
      </w:r>
      <w:r>
        <w:rPr>
          <w:rFonts w:hint="eastAsia" w:ascii="仿宋_GB2312" w:eastAsia="仿宋_GB2312"/>
          <w:b/>
          <w:bCs/>
          <w:color w:val="auto"/>
          <w:sz w:val="32"/>
          <w:szCs w:val="32"/>
        </w:rPr>
        <w:t>（款）</w:t>
      </w:r>
      <w:r>
        <w:rPr>
          <w:rFonts w:hint="eastAsia" w:ascii="仿宋_GB2312" w:eastAsia="仿宋_GB2312"/>
          <w:b/>
          <w:bCs/>
          <w:color w:val="auto"/>
          <w:sz w:val="32"/>
          <w:szCs w:val="32"/>
          <w:lang w:eastAsia="zh-CN"/>
        </w:rPr>
        <w:t>其他城乡社区公共设施支出</w:t>
      </w:r>
      <w:r>
        <w:rPr>
          <w:rFonts w:hint="eastAsia" w:ascii="仿宋_GB2312" w:eastAsia="仿宋_GB2312"/>
          <w:b/>
          <w:bCs/>
          <w:color w:val="auto"/>
          <w:sz w:val="32"/>
          <w:szCs w:val="32"/>
        </w:rPr>
        <w:t>（项）</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年初预算为</w:t>
      </w:r>
      <w:r>
        <w:rPr>
          <w:rFonts w:hint="eastAsia" w:ascii="仿宋_GB2312" w:hAnsi="仿宋_GB2312" w:eastAsia="仿宋_GB2312" w:cs="仿宋_GB2312"/>
          <w:color w:val="auto"/>
          <w:sz w:val="32"/>
          <w:szCs w:val="32"/>
          <w:lang w:val="en-US" w:eastAsia="zh-CN"/>
        </w:rPr>
        <w:t>240.00</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176.58</w:t>
      </w:r>
      <w:r>
        <w:rPr>
          <w:rFonts w:hint="eastAsia" w:ascii="仿宋_GB2312" w:hAnsi="仿宋_GB2312" w:eastAsia="仿宋_GB2312" w:cs="仿宋_GB2312"/>
          <w:color w:val="auto"/>
          <w:sz w:val="32"/>
          <w:szCs w:val="32"/>
        </w:rPr>
        <w:t>万元，完成年初预算的</w:t>
      </w:r>
      <w:r>
        <w:rPr>
          <w:rFonts w:hint="eastAsia" w:ascii="仿宋_GB2312" w:hAnsi="仿宋_GB2312" w:eastAsia="仿宋_GB2312" w:cs="仿宋_GB2312"/>
          <w:color w:val="auto"/>
          <w:sz w:val="32"/>
          <w:szCs w:val="32"/>
          <w:lang w:val="en-US" w:eastAsia="zh-CN"/>
        </w:rPr>
        <w:t>73.58</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eastAsia="zh-CN"/>
        </w:rPr>
        <w:t>根据上级要求该项工作内容相应减少</w:t>
      </w:r>
      <w:r>
        <w:rPr>
          <w:rFonts w:hint="eastAsia" w:ascii="仿宋_GB2312" w:hAnsi="仿宋_GB2312" w:eastAsia="仿宋_GB2312" w:cs="仿宋_GB2312"/>
          <w:color w:val="auto"/>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168.93万元。其中：人员经费165.83万元，主要包括：基本工资、奖金、机关事业单位基本养老保险缴费、职业年金缴费、职工基本医疗保险缴费、公务员医疗补助缴费、其他社会保障缴费、住房公积金；公用经费3.1万元，主要包括：办公费、公务接待费、工会经费、办公设备购置。</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2019年度“三公”经费财政拨款支出预算为0万元，支出决算为0万元，完成预算的0%。2019年度“三公”经费支出决算数与预算数存在差异的主要原因是2019年年初没有申请和年度没有发生“三公”费用。</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因公出国（境）费支出决算0万元，完成预算的0%，占0%；公务用车购置及运行费支出决算0万元，完成预算的0%，占0%；公务接待费支出决算0万元，完成预算的0%，占0%。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年初预算为0万元，支出决算为0万元。</w:t>
      </w:r>
      <w:r>
        <w:rPr>
          <w:rFonts w:hint="eastAsia" w:ascii="仿宋_GB2312" w:eastAsia="仿宋_GB2312"/>
          <w:color w:val="444444"/>
          <w:sz w:val="32"/>
          <w:szCs w:val="32"/>
        </w:rPr>
        <w:t>决算数与年初预算数存在差异的主要原因是2019年没有因公出国（境）人员。全年因公出国（境）团组0个，累计0人次。</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初预算为0万元，支出决算为0万元，完成年初预算的0%。决算数与年初预算数存在差异的主要原因是2019年没有发生公务用车购置及运行费用。其中：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0万元。2019年期末，部门开支财政拨款的公务用车保有量为0辆。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rPr>
        <w:t>初预算为0万元，支出决算为0万元。决算数与年初预算数存在差异的主要原因是是2019年年初没有申请和年度没有发生“三公”费用。其中：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外宾接待支出0</w:t>
      </w:r>
      <w:r>
        <w:rPr>
          <w:rFonts w:hint="eastAsia" w:ascii="仿宋_GB2312" w:hAnsi="仿宋_GB2312" w:eastAsia="仿宋_GB2312" w:cs="仿宋_GB2312"/>
          <w:sz w:val="32"/>
          <w:szCs w:val="32"/>
        </w:rPr>
        <w:t>万元。2019年共接待国（境）外来访团组0个、来访外宾0人次（不包括陪同人员）。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其他国内公务接待支出0</w:t>
      </w:r>
      <w:r>
        <w:rPr>
          <w:rFonts w:hint="eastAsia" w:ascii="仿宋_GB2312" w:hAnsi="仿宋_GB2312" w:eastAsia="仿宋_GB2312" w:cs="仿宋_GB2312"/>
          <w:sz w:val="32"/>
          <w:szCs w:val="32"/>
        </w:rPr>
        <w:t>万元。2019年共接待国内来访团组0个、来宾0人次（不包括陪同人员）。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一般公共预算安排项目共计12个，合计金额922.79万元。按照年初预算，各项目资金能够确保顺利到位，根据支出计划按进度支付，提高资金利用率，取得良好的工作效应。预算管理方面需进一步加强，做好事前评估、事中审查、事后监督，进一步增强支出责任和效率意识，提高绩效目标完成率。</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我单位能认真完成年初设立的绩效目标，三公经费的预算数和决算数差额能有效控制力争逐年下降.</w:t>
      </w:r>
    </w:p>
    <w:p>
      <w:pPr>
        <w:widowControl/>
        <w:numPr>
          <w:ilvl w:val="0"/>
          <w:numId w:val="0"/>
        </w:numPr>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以部门为主体开展的重点绩效评价结果</w:t>
      </w:r>
    </w:p>
    <w:p>
      <w:pPr>
        <w:widowControl/>
        <w:spacing w:line="590" w:lineRule="exact"/>
        <w:ind w:firstLine="640" w:firstLineChars="200"/>
        <w:rPr>
          <w:rFonts w:ascii="仿宋" w:hAnsi="仿宋" w:eastAsia="仿宋" w:cs="仿宋"/>
          <w:sz w:val="32"/>
          <w:szCs w:val="32"/>
        </w:rPr>
      </w:pPr>
      <w:r>
        <w:rPr>
          <w:rFonts w:hint="eastAsia" w:ascii="仿宋" w:hAnsi="仿宋" w:eastAsia="仿宋" w:cs="仿宋"/>
          <w:sz w:val="32"/>
          <w:szCs w:val="32"/>
        </w:rPr>
        <w:t>综治防范工作领域得到不断拓展，信访维稳、扫黑除恶专项斗争工作全方位地开展，2019年度获得新中国成立70周年大庆全市维稳工作表现突出集体等荣誉，确保我区社会大局稳定。</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2019年度政府性基金预算财政拨款支出年初预算为0.00万元，支出决算为0.00万元，完成年初预算的0.00%。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初预算为8.6万元，支出决算为3.1万元，完成年初预算的36.05%。决算数与年初预算数存在差异的主要原因是有效降低控制机关运行经费支出。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245万元，其中：政府采购货物支出85万元、政府采购工程支出160万元、政府采购服务支出0万元。授予中小企业合同金额245万元，占政府采购支出总额的100%，其中：授予小微企业合同金额245万元，占政府采购支出总额的100%。</w:t>
      </w:r>
    </w:p>
    <w:p>
      <w:pPr>
        <w:widowControl/>
        <w:spacing w:line="590" w:lineRule="exact"/>
        <w:ind w:firstLine="640" w:firstLineChars="200"/>
        <w:contextualSpacing/>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2019年期末，我部门共有车辆0辆；单位价值50万元以上通用设备0台（套），单位价值100万元以上专用设备0台（套）。</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IUvJgL4BAABmAwAADgAAAAAAAAABACAAAAAeAQAAZHJzL2Uyb0RvYy54bWxQSwUGAAAA&#10;AAYABgBZAQAAT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4OpMqvQEAAGUDAAAOAAAAAAAAAAEAIAAAAB4BAABkcnMvZTJvRG9jLnhtbFBLBQYAAAAA&#10;BgAGAFkBAABN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HMDIaO/AQAAZgMAAA4AAAAAAAAAAQAgAAAAHg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AA13"/>
    <w:multiLevelType w:val="singleLevel"/>
    <w:tmpl w:val="0C8AAA13"/>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0E8"/>
    <w:rsid w:val="00057AFD"/>
    <w:rsid w:val="00076410"/>
    <w:rsid w:val="000C073B"/>
    <w:rsid w:val="001003F8"/>
    <w:rsid w:val="00144159"/>
    <w:rsid w:val="001467B9"/>
    <w:rsid w:val="001718A8"/>
    <w:rsid w:val="00172A27"/>
    <w:rsid w:val="00182842"/>
    <w:rsid w:val="001905F2"/>
    <w:rsid w:val="001D61B1"/>
    <w:rsid w:val="001E0199"/>
    <w:rsid w:val="001F5040"/>
    <w:rsid w:val="002006EB"/>
    <w:rsid w:val="00260D70"/>
    <w:rsid w:val="00282C7F"/>
    <w:rsid w:val="00287811"/>
    <w:rsid w:val="002A136E"/>
    <w:rsid w:val="002B3F94"/>
    <w:rsid w:val="002D1785"/>
    <w:rsid w:val="002D7204"/>
    <w:rsid w:val="002E6A86"/>
    <w:rsid w:val="00304D04"/>
    <w:rsid w:val="00305B88"/>
    <w:rsid w:val="00315FEB"/>
    <w:rsid w:val="003D3A4F"/>
    <w:rsid w:val="00416BDC"/>
    <w:rsid w:val="0042585F"/>
    <w:rsid w:val="00445CAC"/>
    <w:rsid w:val="00472E19"/>
    <w:rsid w:val="00487869"/>
    <w:rsid w:val="004A6668"/>
    <w:rsid w:val="004D5275"/>
    <w:rsid w:val="004F62AE"/>
    <w:rsid w:val="00507364"/>
    <w:rsid w:val="00534904"/>
    <w:rsid w:val="00546F7C"/>
    <w:rsid w:val="005A0C2F"/>
    <w:rsid w:val="005A1D04"/>
    <w:rsid w:val="005B1AE2"/>
    <w:rsid w:val="005C0F5C"/>
    <w:rsid w:val="005D730F"/>
    <w:rsid w:val="006228C4"/>
    <w:rsid w:val="006512DD"/>
    <w:rsid w:val="00656BEF"/>
    <w:rsid w:val="00656D75"/>
    <w:rsid w:val="00657E86"/>
    <w:rsid w:val="00673EF7"/>
    <w:rsid w:val="0069449E"/>
    <w:rsid w:val="006C07F0"/>
    <w:rsid w:val="006C15FA"/>
    <w:rsid w:val="006C644A"/>
    <w:rsid w:val="006C7D84"/>
    <w:rsid w:val="006E7B1B"/>
    <w:rsid w:val="007148E8"/>
    <w:rsid w:val="00733DAA"/>
    <w:rsid w:val="00742BA0"/>
    <w:rsid w:val="00753545"/>
    <w:rsid w:val="00764156"/>
    <w:rsid w:val="007706D7"/>
    <w:rsid w:val="007879ED"/>
    <w:rsid w:val="007A48A3"/>
    <w:rsid w:val="007C029F"/>
    <w:rsid w:val="007C18D4"/>
    <w:rsid w:val="007C7F49"/>
    <w:rsid w:val="007D2A21"/>
    <w:rsid w:val="00843461"/>
    <w:rsid w:val="00872946"/>
    <w:rsid w:val="0088023A"/>
    <w:rsid w:val="00884F90"/>
    <w:rsid w:val="008858FB"/>
    <w:rsid w:val="00894B41"/>
    <w:rsid w:val="008B5427"/>
    <w:rsid w:val="00903F6B"/>
    <w:rsid w:val="009173F9"/>
    <w:rsid w:val="00975A04"/>
    <w:rsid w:val="009F546E"/>
    <w:rsid w:val="00A079F0"/>
    <w:rsid w:val="00A24755"/>
    <w:rsid w:val="00A57BF7"/>
    <w:rsid w:val="00A64B37"/>
    <w:rsid w:val="00A83D8A"/>
    <w:rsid w:val="00A93E7D"/>
    <w:rsid w:val="00AA260E"/>
    <w:rsid w:val="00AA44CB"/>
    <w:rsid w:val="00AA592C"/>
    <w:rsid w:val="00AA67CD"/>
    <w:rsid w:val="00AA6B0B"/>
    <w:rsid w:val="00AD6761"/>
    <w:rsid w:val="00AE600E"/>
    <w:rsid w:val="00B0083B"/>
    <w:rsid w:val="00B209B8"/>
    <w:rsid w:val="00B249F3"/>
    <w:rsid w:val="00B710DD"/>
    <w:rsid w:val="00BB2273"/>
    <w:rsid w:val="00BE5A85"/>
    <w:rsid w:val="00BF5718"/>
    <w:rsid w:val="00C3106E"/>
    <w:rsid w:val="00C47D6C"/>
    <w:rsid w:val="00C60609"/>
    <w:rsid w:val="00C65DED"/>
    <w:rsid w:val="00C70AAE"/>
    <w:rsid w:val="00C95CC1"/>
    <w:rsid w:val="00CA3F44"/>
    <w:rsid w:val="00CD3D39"/>
    <w:rsid w:val="00CE212D"/>
    <w:rsid w:val="00CE4B38"/>
    <w:rsid w:val="00D131A3"/>
    <w:rsid w:val="00D1321A"/>
    <w:rsid w:val="00D30ADF"/>
    <w:rsid w:val="00D355BD"/>
    <w:rsid w:val="00D6315E"/>
    <w:rsid w:val="00D652C2"/>
    <w:rsid w:val="00D74EE2"/>
    <w:rsid w:val="00D82C91"/>
    <w:rsid w:val="00D83E19"/>
    <w:rsid w:val="00DA00C9"/>
    <w:rsid w:val="00DA46C5"/>
    <w:rsid w:val="00DB200E"/>
    <w:rsid w:val="00DB65F5"/>
    <w:rsid w:val="00DD3A1A"/>
    <w:rsid w:val="00E01C3E"/>
    <w:rsid w:val="00E13099"/>
    <w:rsid w:val="00E4339F"/>
    <w:rsid w:val="00E444F2"/>
    <w:rsid w:val="00E629EA"/>
    <w:rsid w:val="00E6777C"/>
    <w:rsid w:val="00EB05A3"/>
    <w:rsid w:val="00ED38B7"/>
    <w:rsid w:val="00EE051D"/>
    <w:rsid w:val="00F0131A"/>
    <w:rsid w:val="00F01D36"/>
    <w:rsid w:val="00F14C17"/>
    <w:rsid w:val="00F17041"/>
    <w:rsid w:val="00F44937"/>
    <w:rsid w:val="00F61A47"/>
    <w:rsid w:val="00F84422"/>
    <w:rsid w:val="00F95455"/>
    <w:rsid w:val="00FA574D"/>
    <w:rsid w:val="00FB3D62"/>
    <w:rsid w:val="00FE7AD9"/>
    <w:rsid w:val="01322275"/>
    <w:rsid w:val="01830806"/>
    <w:rsid w:val="019B717E"/>
    <w:rsid w:val="01DC6F05"/>
    <w:rsid w:val="02785BAF"/>
    <w:rsid w:val="02A3489A"/>
    <w:rsid w:val="02CA138D"/>
    <w:rsid w:val="02E238C3"/>
    <w:rsid w:val="033646FC"/>
    <w:rsid w:val="03C75F80"/>
    <w:rsid w:val="0478364D"/>
    <w:rsid w:val="04930D64"/>
    <w:rsid w:val="04AF4BA4"/>
    <w:rsid w:val="04EF36D7"/>
    <w:rsid w:val="050E70CD"/>
    <w:rsid w:val="053D4C0D"/>
    <w:rsid w:val="0557532E"/>
    <w:rsid w:val="05FE560C"/>
    <w:rsid w:val="06A90B96"/>
    <w:rsid w:val="0799329C"/>
    <w:rsid w:val="086F16A7"/>
    <w:rsid w:val="0A0F7225"/>
    <w:rsid w:val="0A2B7D82"/>
    <w:rsid w:val="0ADC40E9"/>
    <w:rsid w:val="0AE607F4"/>
    <w:rsid w:val="0B451598"/>
    <w:rsid w:val="0BEC73F4"/>
    <w:rsid w:val="0C392698"/>
    <w:rsid w:val="0D224EC2"/>
    <w:rsid w:val="0E4E3AB9"/>
    <w:rsid w:val="100A6B75"/>
    <w:rsid w:val="10BD36F6"/>
    <w:rsid w:val="11BF0649"/>
    <w:rsid w:val="123E3E08"/>
    <w:rsid w:val="12F66B4A"/>
    <w:rsid w:val="161C2DFF"/>
    <w:rsid w:val="16373578"/>
    <w:rsid w:val="16D3336B"/>
    <w:rsid w:val="174E7C59"/>
    <w:rsid w:val="17806C36"/>
    <w:rsid w:val="17A74F62"/>
    <w:rsid w:val="18A47774"/>
    <w:rsid w:val="19352BDA"/>
    <w:rsid w:val="19562BF4"/>
    <w:rsid w:val="19C13DCF"/>
    <w:rsid w:val="1A895EAE"/>
    <w:rsid w:val="1B2E6FD8"/>
    <w:rsid w:val="1B877D21"/>
    <w:rsid w:val="1C4319A9"/>
    <w:rsid w:val="1D2C50C7"/>
    <w:rsid w:val="1DC96F27"/>
    <w:rsid w:val="1E4C213E"/>
    <w:rsid w:val="1E4D68A4"/>
    <w:rsid w:val="1E8F4B1F"/>
    <w:rsid w:val="1E994F4A"/>
    <w:rsid w:val="1EAF0224"/>
    <w:rsid w:val="1ED74E3A"/>
    <w:rsid w:val="1F2230A4"/>
    <w:rsid w:val="1F6B0425"/>
    <w:rsid w:val="20210932"/>
    <w:rsid w:val="202448E0"/>
    <w:rsid w:val="20AB30DC"/>
    <w:rsid w:val="20BE3E6B"/>
    <w:rsid w:val="21302EEA"/>
    <w:rsid w:val="22376FB5"/>
    <w:rsid w:val="22D54872"/>
    <w:rsid w:val="23E152D7"/>
    <w:rsid w:val="245161A2"/>
    <w:rsid w:val="255D43C8"/>
    <w:rsid w:val="25FD0CE5"/>
    <w:rsid w:val="26757A50"/>
    <w:rsid w:val="26876BDD"/>
    <w:rsid w:val="2714632A"/>
    <w:rsid w:val="27B0539E"/>
    <w:rsid w:val="282E650D"/>
    <w:rsid w:val="29365CF8"/>
    <w:rsid w:val="29397105"/>
    <w:rsid w:val="299469B3"/>
    <w:rsid w:val="29BE69C3"/>
    <w:rsid w:val="2A805789"/>
    <w:rsid w:val="2B3F4F7A"/>
    <w:rsid w:val="2B4A0E52"/>
    <w:rsid w:val="2C975890"/>
    <w:rsid w:val="2D9F7BE7"/>
    <w:rsid w:val="2DEF21BB"/>
    <w:rsid w:val="2E4A2F05"/>
    <w:rsid w:val="2ECC1061"/>
    <w:rsid w:val="2FA476AD"/>
    <w:rsid w:val="303F7540"/>
    <w:rsid w:val="30926A27"/>
    <w:rsid w:val="31DD00BF"/>
    <w:rsid w:val="328B2FA1"/>
    <w:rsid w:val="3293174C"/>
    <w:rsid w:val="32936002"/>
    <w:rsid w:val="32BB38D4"/>
    <w:rsid w:val="32C9376D"/>
    <w:rsid w:val="33780472"/>
    <w:rsid w:val="33933F43"/>
    <w:rsid w:val="339C763F"/>
    <w:rsid w:val="33AF0905"/>
    <w:rsid w:val="34EB6088"/>
    <w:rsid w:val="355932F4"/>
    <w:rsid w:val="35611882"/>
    <w:rsid w:val="35EB0033"/>
    <w:rsid w:val="366D28FE"/>
    <w:rsid w:val="36746FC3"/>
    <w:rsid w:val="368763AE"/>
    <w:rsid w:val="395D59E7"/>
    <w:rsid w:val="39A93932"/>
    <w:rsid w:val="3A915562"/>
    <w:rsid w:val="3B7265A0"/>
    <w:rsid w:val="3B8D4765"/>
    <w:rsid w:val="3C000DBA"/>
    <w:rsid w:val="3DC045D3"/>
    <w:rsid w:val="3DC85EEF"/>
    <w:rsid w:val="3E504FFB"/>
    <w:rsid w:val="3E615CD0"/>
    <w:rsid w:val="3E8D6539"/>
    <w:rsid w:val="3E9C47F6"/>
    <w:rsid w:val="3FAB3095"/>
    <w:rsid w:val="3FE45947"/>
    <w:rsid w:val="412253A8"/>
    <w:rsid w:val="41242965"/>
    <w:rsid w:val="42D4120D"/>
    <w:rsid w:val="435671EA"/>
    <w:rsid w:val="438558C1"/>
    <w:rsid w:val="440809E9"/>
    <w:rsid w:val="442407A6"/>
    <w:rsid w:val="44805EA1"/>
    <w:rsid w:val="451A1CB3"/>
    <w:rsid w:val="45710696"/>
    <w:rsid w:val="46142B1B"/>
    <w:rsid w:val="46C14AA3"/>
    <w:rsid w:val="47C81B4B"/>
    <w:rsid w:val="47E60DD0"/>
    <w:rsid w:val="481C151D"/>
    <w:rsid w:val="482A1360"/>
    <w:rsid w:val="48735039"/>
    <w:rsid w:val="492C684B"/>
    <w:rsid w:val="49500594"/>
    <w:rsid w:val="49E7604E"/>
    <w:rsid w:val="4BF67CDD"/>
    <w:rsid w:val="4D603DD6"/>
    <w:rsid w:val="4EBF010F"/>
    <w:rsid w:val="4EF95324"/>
    <w:rsid w:val="4F471EB0"/>
    <w:rsid w:val="505066A7"/>
    <w:rsid w:val="51015B9F"/>
    <w:rsid w:val="51331326"/>
    <w:rsid w:val="51740A7F"/>
    <w:rsid w:val="51A5541E"/>
    <w:rsid w:val="51C96242"/>
    <w:rsid w:val="52BC70B9"/>
    <w:rsid w:val="537F55D7"/>
    <w:rsid w:val="53960D7E"/>
    <w:rsid w:val="53A87649"/>
    <w:rsid w:val="54341889"/>
    <w:rsid w:val="54F46F60"/>
    <w:rsid w:val="55A37BEA"/>
    <w:rsid w:val="57466644"/>
    <w:rsid w:val="5784687B"/>
    <w:rsid w:val="57846959"/>
    <w:rsid w:val="578678E3"/>
    <w:rsid w:val="578E6A87"/>
    <w:rsid w:val="58907098"/>
    <w:rsid w:val="58AD14E0"/>
    <w:rsid w:val="5A5738FA"/>
    <w:rsid w:val="5AC2203A"/>
    <w:rsid w:val="5C6063D2"/>
    <w:rsid w:val="5CBB3334"/>
    <w:rsid w:val="5D115FAF"/>
    <w:rsid w:val="62811722"/>
    <w:rsid w:val="62E75A72"/>
    <w:rsid w:val="63DC186C"/>
    <w:rsid w:val="63F7026C"/>
    <w:rsid w:val="64571880"/>
    <w:rsid w:val="646A6831"/>
    <w:rsid w:val="649125B6"/>
    <w:rsid w:val="652F4C1A"/>
    <w:rsid w:val="666D37F1"/>
    <w:rsid w:val="67087D8F"/>
    <w:rsid w:val="671F687E"/>
    <w:rsid w:val="67F415F8"/>
    <w:rsid w:val="68204FB4"/>
    <w:rsid w:val="682D4105"/>
    <w:rsid w:val="684B73E5"/>
    <w:rsid w:val="6A047A2A"/>
    <w:rsid w:val="6D1D2ABE"/>
    <w:rsid w:val="6F3831C3"/>
    <w:rsid w:val="70417DD1"/>
    <w:rsid w:val="70753482"/>
    <w:rsid w:val="707B522A"/>
    <w:rsid w:val="72F30BAA"/>
    <w:rsid w:val="73194D05"/>
    <w:rsid w:val="735756E1"/>
    <w:rsid w:val="736175F0"/>
    <w:rsid w:val="73A83B0E"/>
    <w:rsid w:val="744D3EF9"/>
    <w:rsid w:val="74794411"/>
    <w:rsid w:val="75867C40"/>
    <w:rsid w:val="75971755"/>
    <w:rsid w:val="76432199"/>
    <w:rsid w:val="76F44829"/>
    <w:rsid w:val="77A267C0"/>
    <w:rsid w:val="78205483"/>
    <w:rsid w:val="78882278"/>
    <w:rsid w:val="78B118A6"/>
    <w:rsid w:val="78DE16F4"/>
    <w:rsid w:val="79135044"/>
    <w:rsid w:val="793D08CD"/>
    <w:rsid w:val="79EB3A48"/>
    <w:rsid w:val="7A644B5B"/>
    <w:rsid w:val="7A7D0F99"/>
    <w:rsid w:val="7B2A08DE"/>
    <w:rsid w:val="7B824460"/>
    <w:rsid w:val="7D685A0A"/>
    <w:rsid w:val="7D7943BF"/>
    <w:rsid w:val="7D863130"/>
    <w:rsid w:val="7EFD449D"/>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8"/>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sz w:val="18"/>
    </w:r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styleId="11">
    <w:name w:val="footnote reference"/>
    <w:basedOn w:val="8"/>
    <w:unhideWhenUsed/>
    <w:qFormat/>
    <w:uiPriority w:val="99"/>
    <w:rPr>
      <w:vertAlign w:val="superscript"/>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标题1"/>
    <w:basedOn w:val="2"/>
    <w:qFormat/>
    <w:uiPriority w:val="0"/>
    <w:pPr>
      <w:spacing w:before="0" w:after="0" w:line="240" w:lineRule="auto"/>
      <w:jc w:val="center"/>
    </w:pPr>
    <w:rPr>
      <w:rFonts w:ascii="华文中宋" w:hAnsi="华文中宋" w:eastAsia="华文中宋"/>
      <w:sz w:val="36"/>
      <w:szCs w:val="36"/>
    </w:rPr>
  </w:style>
  <w:style w:type="character" w:customStyle="1" w:styleId="15">
    <w:name w:val="页眉 Char"/>
    <w:link w:val="6"/>
    <w:qFormat/>
    <w:uiPriority w:val="99"/>
    <w:rPr>
      <w:kern w:val="2"/>
      <w:sz w:val="18"/>
      <w:szCs w:val="18"/>
    </w:rPr>
  </w:style>
  <w:style w:type="character" w:customStyle="1" w:styleId="16">
    <w:name w:val="font41"/>
    <w:basedOn w:val="8"/>
    <w:qFormat/>
    <w:uiPriority w:val="0"/>
    <w:rPr>
      <w:rFonts w:hint="eastAsia" w:ascii="宋体" w:hAnsi="宋体" w:eastAsia="宋体" w:cs="宋体"/>
      <w:color w:val="000000"/>
      <w:sz w:val="24"/>
      <w:szCs w:val="24"/>
      <w:u w:val="none"/>
    </w:rPr>
  </w:style>
  <w:style w:type="character" w:customStyle="1" w:styleId="17">
    <w:name w:val="页脚 Char"/>
    <w:link w:val="5"/>
    <w:qFormat/>
    <w:uiPriority w:val="99"/>
    <w:rPr>
      <w:kern w:val="2"/>
      <w:sz w:val="18"/>
      <w:szCs w:val="18"/>
    </w:rPr>
  </w:style>
  <w:style w:type="character" w:customStyle="1" w:styleId="18">
    <w:name w:val="批注框文本 Char"/>
    <w:basedOn w:val="8"/>
    <w:link w:val="4"/>
    <w:semiHidden/>
    <w:qFormat/>
    <w:uiPriority w:val="99"/>
    <w:rPr>
      <w:kern w:val="2"/>
      <w:sz w:val="18"/>
      <w:szCs w:val="18"/>
    </w:rPr>
  </w:style>
  <w:style w:type="character" w:customStyle="1" w:styleId="19">
    <w:name w:val="font01"/>
    <w:basedOn w:val="8"/>
    <w:qFormat/>
    <w:uiPriority w:val="0"/>
    <w:rPr>
      <w:rFonts w:hint="eastAsia" w:ascii="宋体" w:hAnsi="宋体" w:eastAsia="宋体" w:cs="宋体"/>
      <w:color w:val="000000"/>
      <w:sz w:val="22"/>
      <w:szCs w:val="22"/>
      <w:u w:val="none"/>
    </w:rPr>
  </w:style>
  <w:style w:type="character" w:customStyle="1" w:styleId="20">
    <w:name w:val="font51"/>
    <w:basedOn w:val="8"/>
    <w:qFormat/>
    <w:uiPriority w:val="0"/>
    <w:rPr>
      <w:rFonts w:hint="eastAsia" w:ascii="宋体" w:hAnsi="宋体" w:eastAsia="宋体" w:cs="宋体"/>
      <w:color w:val="000000"/>
      <w:sz w:val="24"/>
      <w:szCs w:val="24"/>
      <w:u w:val="none"/>
    </w:rPr>
  </w:style>
  <w:style w:type="character" w:customStyle="1" w:styleId="21">
    <w:name w:val="font11"/>
    <w:basedOn w:val="8"/>
    <w:qFormat/>
    <w:uiPriority w:val="0"/>
    <w:rPr>
      <w:rFonts w:hint="eastAsia" w:ascii="宋体" w:hAnsi="宋体" w:eastAsia="宋体" w:cs="宋体"/>
      <w:color w:val="000000"/>
      <w:sz w:val="20"/>
      <w:szCs w:val="20"/>
      <w:u w:val="none"/>
    </w:rPr>
  </w:style>
  <w:style w:type="character" w:customStyle="1" w:styleId="22">
    <w:name w:val="font2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F2E94-6BDF-443D-B092-23CDF48340A9}">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753</Words>
  <Characters>4296</Characters>
  <Lines>35</Lines>
  <Paragraphs>10</Paragraphs>
  <TotalTime>344</TotalTime>
  <ScaleCrop>false</ScaleCrop>
  <LinksUpToDate>false</LinksUpToDate>
  <CharactersWithSpaces>5039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lenovo</cp:lastModifiedBy>
  <cp:lastPrinted>2021-03-01T08:39:00Z</cp:lastPrinted>
  <dcterms:modified xsi:type="dcterms:W3CDTF">2021-06-02T09:49:14Z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