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ascii="方正小标宋简体" w:hAnsi="方正小标宋简体" w:eastAsia="方正小标宋简体" w:cs="方正小标宋简体"/>
          <w:color w:val="000000"/>
          <w:sz w:val="44"/>
          <w:szCs w:val="44"/>
          <w:lang w:bidi="ar"/>
        </w:rPr>
        <w:t>签订《遵守生态环境法律承诺书》企业名单</w:t>
      </w:r>
    </w:p>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为进一步提升企业守法意识，按照《河南省生态环境厅关于开展全省涉挥发性有机物行业企业专项执法检查的通知》要求，经开区</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 xml:space="preserve">家涉挥性有机物企业签订了《企业遵守生态环境法律承诺书》接受社会监督，向社会郑重承诺如下：                </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一、严格遵守生态环境法律、法规和相关规章制度，做到诚实守法；</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二、制定企业环境保护管理制度，积极开展低VOCs含量原辅材料源头替代工作，减少污染物排放；</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三、严格落实企业污染物达标、责任区环境质量达标、责任区环境安全达标责任制，做到诚信合法排污；</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四、严格落实持证排污、按证排污，做到排污口规范化管理，污染物不直排、不偷排、不漏排；</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五、新、改、扩建设项目严格执行“环评”和“三同时”制度，不擅自增设污染工序和扩大生产规模；</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六、加大环保投入，建设高标准、高质量的污染防治设施；</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七、认真执行企业环境保护制度，加强日常管理，规范操作并定期检修、维护污染防治设施，确保污染防治设施正常运行，污染物达标排放；</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八、建立环境风险防范和污染事件突发应急体系，制定环境突发事件应急处置预案，并定期组织应急演练，全力维护生态环境安全，确保不发生重特大污染环境事故；</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九、建立环境管理台账记录制度，实现台账记录规范化管理；</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十、建立良好和谐的社会关系，尽力避免环境污染投诉，并做好信息公开。</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现将签订承诺书企业名单公开，接受社会各界监督。</w:t>
      </w:r>
    </w:p>
    <w:tbl>
      <w:tblPr>
        <w:tblStyle w:val="6"/>
        <w:tblW w:w="8359" w:type="dxa"/>
        <w:tblInd w:w="0" w:type="dxa"/>
        <w:tblLayout w:type="autofit"/>
        <w:tblCellMar>
          <w:top w:w="0" w:type="dxa"/>
          <w:left w:w="108" w:type="dxa"/>
          <w:bottom w:w="0" w:type="dxa"/>
          <w:right w:w="108" w:type="dxa"/>
        </w:tblCellMar>
      </w:tblPr>
      <w:tblGrid>
        <w:gridCol w:w="900"/>
        <w:gridCol w:w="1789"/>
        <w:gridCol w:w="5670"/>
      </w:tblGrid>
      <w:tr>
        <w:tblPrEx>
          <w:tblCellMar>
            <w:top w:w="0" w:type="dxa"/>
            <w:left w:w="108" w:type="dxa"/>
            <w:bottom w:w="0" w:type="dxa"/>
            <w:right w:w="108" w:type="dxa"/>
          </w:tblCellMar>
        </w:tblPrEx>
        <w:trPr>
          <w:trHeight w:val="540" w:hRule="atLeast"/>
        </w:trPr>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序号</w:t>
            </w:r>
          </w:p>
        </w:tc>
        <w:tc>
          <w:tcPr>
            <w:tcW w:w="178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县（市、区）</w:t>
            </w:r>
          </w:p>
        </w:tc>
        <w:tc>
          <w:tcPr>
            <w:tcW w:w="56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 xml:space="preserve">企业名称 </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1</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河南流量新材料有限公司</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2</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新乡市亿龙养护设备有限公司</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3</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新乡市天宏彩板钢构厂</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4</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河南省振源科技有限公司</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5</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河南世通电气自动化控制有限公司</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6</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河南天盛钢结构工程有限公司</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7</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新乡化纤股份有限公司</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8</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新乡市恒星科技有限责任公司</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9</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新乡市欧嘉滤清器有限公司</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10</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kern w:val="0"/>
                <w:sz w:val="22"/>
                <w:szCs w:val="22"/>
              </w:rPr>
            </w:pPr>
            <w:r>
              <w:rPr>
                <w:rFonts w:hint="eastAsia" w:ascii="宋体" w:hAnsi="宋体" w:cs="宋体"/>
                <w:kern w:val="0"/>
                <w:sz w:val="22"/>
                <w:szCs w:val="22"/>
              </w:rPr>
              <w:t>锦绣防水科技有限公司</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11</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kern w:val="0"/>
                <w:sz w:val="22"/>
                <w:szCs w:val="22"/>
              </w:rPr>
            </w:pPr>
            <w:r>
              <w:rPr>
                <w:rFonts w:hint="eastAsia" w:ascii="宋体" w:hAnsi="宋体" w:cs="宋体"/>
                <w:kern w:val="0"/>
                <w:sz w:val="22"/>
                <w:szCs w:val="22"/>
              </w:rPr>
              <w:t>新乡格林机械股份有限公司</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12</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kern w:val="0"/>
                <w:sz w:val="22"/>
                <w:szCs w:val="22"/>
              </w:rPr>
            </w:pPr>
            <w:r>
              <w:rPr>
                <w:rFonts w:hint="eastAsia" w:ascii="宋体" w:hAnsi="宋体" w:cs="宋体"/>
                <w:kern w:val="0"/>
                <w:sz w:val="22"/>
                <w:szCs w:val="22"/>
              </w:rPr>
              <w:t>新乡市护神特种织物有限公司</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13</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kern w:val="0"/>
                <w:sz w:val="22"/>
                <w:szCs w:val="22"/>
              </w:rPr>
            </w:pPr>
            <w:r>
              <w:rPr>
                <w:rFonts w:hint="eastAsia" w:ascii="宋体" w:hAnsi="宋体" w:cs="宋体"/>
                <w:kern w:val="0"/>
                <w:sz w:val="22"/>
                <w:szCs w:val="22"/>
              </w:rPr>
              <w:t>河南省联谊制药有限公司</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14</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kern w:val="0"/>
                <w:sz w:val="22"/>
                <w:szCs w:val="22"/>
              </w:rPr>
            </w:pPr>
            <w:r>
              <w:rPr>
                <w:rFonts w:hint="eastAsia" w:ascii="宋体" w:hAnsi="宋体" w:cs="宋体"/>
                <w:kern w:val="0"/>
                <w:sz w:val="22"/>
                <w:szCs w:val="22"/>
              </w:rPr>
              <w:t>河南东海复合材料有限公司</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15</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kern w:val="0"/>
                <w:sz w:val="22"/>
                <w:szCs w:val="22"/>
              </w:rPr>
            </w:pPr>
            <w:r>
              <w:rPr>
                <w:rFonts w:hint="eastAsia" w:ascii="宋体" w:hAnsi="宋体" w:cs="宋体"/>
                <w:kern w:val="0"/>
                <w:sz w:val="22"/>
                <w:szCs w:val="22"/>
              </w:rPr>
              <w:t>新乡双鹭药业有限公司</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16</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kern w:val="0"/>
                <w:sz w:val="22"/>
                <w:szCs w:val="22"/>
              </w:rPr>
            </w:pPr>
            <w:r>
              <w:rPr>
                <w:rFonts w:hint="eastAsia" w:ascii="宋体" w:hAnsi="宋体" w:cs="宋体"/>
                <w:kern w:val="0"/>
                <w:sz w:val="22"/>
                <w:szCs w:val="22"/>
              </w:rPr>
              <w:t>新乡市兴豫塑料制品有限公司</w:t>
            </w:r>
          </w:p>
        </w:tc>
      </w:tr>
      <w:tr>
        <w:tblPrEx>
          <w:tblCellMar>
            <w:top w:w="0" w:type="dxa"/>
            <w:left w:w="108" w:type="dxa"/>
            <w:bottom w:w="0" w:type="dxa"/>
            <w:right w:w="108" w:type="dxa"/>
          </w:tblCellMar>
        </w:tblPrEx>
        <w:trPr>
          <w:trHeight w:val="63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17</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kern w:val="0"/>
                <w:sz w:val="22"/>
                <w:szCs w:val="22"/>
              </w:rPr>
            </w:pPr>
            <w:r>
              <w:rPr>
                <w:rFonts w:hint="eastAsia" w:ascii="宋体" w:hAnsi="宋体" w:cs="宋体"/>
                <w:kern w:val="0"/>
                <w:sz w:val="22"/>
                <w:szCs w:val="22"/>
              </w:rPr>
              <w:t>中国石化销售股份有限公司河南新乡鸿德加油站</w:t>
            </w:r>
          </w:p>
        </w:tc>
      </w:tr>
      <w:tr>
        <w:tblPrEx>
          <w:tblCellMar>
            <w:top w:w="0" w:type="dxa"/>
            <w:left w:w="108" w:type="dxa"/>
            <w:bottom w:w="0" w:type="dxa"/>
            <w:right w:w="108" w:type="dxa"/>
          </w:tblCellMar>
        </w:tblPrEx>
        <w:trPr>
          <w:trHeight w:val="63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18</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kern w:val="0"/>
                <w:sz w:val="22"/>
                <w:szCs w:val="22"/>
              </w:rPr>
            </w:pPr>
            <w:r>
              <w:rPr>
                <w:rFonts w:hint="eastAsia" w:ascii="宋体" w:hAnsi="宋体" w:cs="宋体"/>
                <w:kern w:val="0"/>
                <w:sz w:val="22"/>
                <w:szCs w:val="22"/>
              </w:rPr>
              <w:t>中国石化销售股份有限公司河南新乡东屯南加油站</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19</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kern w:val="0"/>
                <w:sz w:val="22"/>
                <w:szCs w:val="22"/>
              </w:rPr>
            </w:pPr>
            <w:r>
              <w:rPr>
                <w:rFonts w:hint="eastAsia" w:ascii="宋体" w:hAnsi="宋体" w:cs="宋体"/>
                <w:kern w:val="0"/>
                <w:sz w:val="22"/>
                <w:szCs w:val="22"/>
              </w:rPr>
              <w:t>新乡市龙浩实业有限公司小店加油站</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20</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新乡市龙浩实业有限公司</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21</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新乡市起重设备厂有限责任公司</w:t>
            </w:r>
          </w:p>
        </w:tc>
      </w:tr>
      <w:tr>
        <w:tblPrEx>
          <w:tblCellMar>
            <w:top w:w="0" w:type="dxa"/>
            <w:left w:w="108" w:type="dxa"/>
            <w:bottom w:w="0" w:type="dxa"/>
            <w:right w:w="108" w:type="dxa"/>
          </w:tblCellMar>
        </w:tblPrEx>
        <w:trPr>
          <w:trHeight w:val="40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22</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经开区</w:t>
            </w:r>
          </w:p>
        </w:tc>
        <w:tc>
          <w:tcPr>
            <w:tcW w:w="567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新乡景弘印染有限公司</w:t>
            </w:r>
          </w:p>
        </w:tc>
      </w:tr>
      <w:tr>
        <w:tblPrEx>
          <w:tblCellMar>
            <w:top w:w="0" w:type="dxa"/>
            <w:left w:w="108" w:type="dxa"/>
            <w:bottom w:w="0" w:type="dxa"/>
            <w:right w:w="108" w:type="dxa"/>
          </w:tblCellMar>
        </w:tblPrEx>
        <w:trPr>
          <w:trHeight w:val="285"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23</w:t>
            </w:r>
          </w:p>
        </w:tc>
        <w:tc>
          <w:tcPr>
            <w:tcW w:w="17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经开</w:t>
            </w:r>
            <w:bookmarkStart w:id="0" w:name="_GoBack"/>
            <w:bookmarkEnd w:id="0"/>
            <w:r>
              <w:rPr>
                <w:rFonts w:hint="eastAsia" w:ascii="宋体" w:hAnsi="宋体" w:cs="宋体"/>
                <w:color w:val="000000"/>
                <w:kern w:val="0"/>
                <w:sz w:val="22"/>
                <w:szCs w:val="22"/>
              </w:rPr>
              <w:t>区</w:t>
            </w:r>
          </w:p>
        </w:tc>
        <w:tc>
          <w:tcPr>
            <w:tcW w:w="567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color w:val="000000"/>
                <w:kern w:val="0"/>
                <w:sz w:val="22"/>
                <w:szCs w:val="22"/>
              </w:rPr>
            </w:pPr>
            <w:r>
              <w:rPr>
                <w:rFonts w:hint="eastAsia" w:ascii="宋体" w:hAnsi="宋体" w:cs="宋体"/>
                <w:color w:val="000000"/>
                <w:kern w:val="0"/>
                <w:sz w:val="22"/>
                <w:szCs w:val="22"/>
              </w:rPr>
              <w:t>新乡市通用电机有限公司</w:t>
            </w:r>
          </w:p>
        </w:tc>
      </w:tr>
    </w:tbl>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ascii="仿宋" w:hAnsi="仿宋" w:eastAsia="仿宋" w:cs="仿宋"/>
          <w:color w:val="000000"/>
          <w:kern w:val="2"/>
          <w:sz w:val="32"/>
          <w:szCs w:val="32"/>
          <w:lang w:bidi="ar"/>
        </w:rPr>
      </w:pPr>
    </w:p>
    <w:p>
      <w:pPr>
        <w:keepNext w:val="0"/>
        <w:keepLines w:val="0"/>
        <w:pageBreakBefore w:val="0"/>
        <w:kinsoku/>
        <w:wordWrap/>
        <w:overflowPunct/>
        <w:topLinePunct w:val="0"/>
        <w:autoSpaceDE/>
        <w:autoSpaceDN/>
        <w:bidi w:val="0"/>
        <w:adjustRightInd/>
        <w:spacing w:line="560" w:lineRule="exact"/>
        <w:jc w:val="right"/>
        <w:textAlignment w:val="auto"/>
        <w:rPr>
          <w:rFonts w:hint="eastAsia" w:ascii="仿宋" w:hAnsi="仿宋" w:eastAsia="仿宋" w:cs="仿宋"/>
          <w:sz w:val="32"/>
          <w:szCs w:val="32"/>
          <w:lang w:val="en-US" w:eastAsia="zh-CN"/>
        </w:rPr>
      </w:pPr>
      <w:r>
        <w:rPr>
          <w:rFonts w:hint="eastAsia"/>
        </w:rPr>
        <w:t xml:space="preserve">                              </w:t>
      </w:r>
      <w:r>
        <w:rPr>
          <w:rFonts w:hint="eastAsia" w:ascii="仿宋" w:hAnsi="仿宋" w:eastAsia="仿宋" w:cs="仿宋"/>
          <w:sz w:val="32"/>
          <w:szCs w:val="32"/>
        </w:rPr>
        <w:t xml:space="preserve">    新乡经济技术开发区</w:t>
      </w:r>
      <w:r>
        <w:rPr>
          <w:rFonts w:hint="eastAsia" w:ascii="仿宋" w:hAnsi="仿宋" w:eastAsia="仿宋" w:cs="仿宋"/>
          <w:sz w:val="32"/>
          <w:szCs w:val="32"/>
          <w:lang w:val="en-US" w:eastAsia="zh-CN"/>
        </w:rPr>
        <w:t>管理委员会</w:t>
      </w:r>
    </w:p>
    <w:p>
      <w:pPr>
        <w:keepNext w:val="0"/>
        <w:keepLines w:val="0"/>
        <w:pageBreakBefore w:val="0"/>
        <w:kinsoku/>
        <w:wordWrap/>
        <w:overflowPunct/>
        <w:topLinePunct w:val="0"/>
        <w:autoSpaceDE/>
        <w:autoSpaceDN/>
        <w:bidi w:val="0"/>
        <w:adjustRightInd/>
        <w:spacing w:line="560" w:lineRule="exact"/>
        <w:jc w:val="right"/>
        <w:textAlignment w:val="auto"/>
        <w:rPr>
          <w:rFonts w:ascii="仿宋" w:hAnsi="仿宋" w:eastAsia="仿宋" w:cs="仿宋"/>
          <w:sz w:val="32"/>
          <w:szCs w:val="32"/>
        </w:rPr>
      </w:pPr>
      <w:r>
        <w:rPr>
          <w:rFonts w:hint="eastAsia" w:ascii="仿宋" w:hAnsi="仿宋" w:eastAsia="仿宋" w:cs="仿宋"/>
          <w:sz w:val="32"/>
          <w:szCs w:val="32"/>
        </w:rPr>
        <w:t>应急和生态环境管理局</w:t>
      </w:r>
    </w:p>
    <w:p>
      <w:pPr>
        <w:keepNext w:val="0"/>
        <w:keepLines w:val="0"/>
        <w:pageBreakBefore w:val="0"/>
        <w:kinsoku/>
        <w:wordWrap/>
        <w:overflowPunct/>
        <w:topLinePunct w:val="0"/>
        <w:autoSpaceDE/>
        <w:autoSpaceDN/>
        <w:bidi w:val="0"/>
        <w:adjustRightInd/>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2023年</w:t>
      </w:r>
      <w:r>
        <w:rPr>
          <w:rFonts w:ascii="仿宋" w:hAnsi="仿宋" w:eastAsia="仿宋" w:cs="仿宋"/>
          <w:sz w:val="32"/>
          <w:szCs w:val="32"/>
        </w:rPr>
        <w:t>5</w:t>
      </w:r>
      <w:r>
        <w:rPr>
          <w:rFonts w:hint="eastAsia" w:ascii="仿宋" w:hAnsi="仿宋" w:eastAsia="仿宋" w:cs="仿宋"/>
          <w:sz w:val="32"/>
          <w:szCs w:val="32"/>
        </w:rPr>
        <w:t>月</w:t>
      </w:r>
      <w:r>
        <w:rPr>
          <w:rFonts w:ascii="仿宋" w:hAnsi="仿宋" w:eastAsia="仿宋" w:cs="仿宋"/>
          <w:sz w:val="32"/>
          <w:szCs w:val="32"/>
        </w:rPr>
        <w:t>4</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wMWM0ZGNmYmU5ZjVhZWI1MjgzOTM1NzQ1ZmY1NTgifQ=="/>
  </w:docVars>
  <w:rsids>
    <w:rsidRoot w:val="0068142A"/>
    <w:rsid w:val="00377034"/>
    <w:rsid w:val="0068142A"/>
    <w:rsid w:val="00705C94"/>
    <w:rsid w:val="00777E84"/>
    <w:rsid w:val="00837B81"/>
    <w:rsid w:val="1B134746"/>
    <w:rsid w:val="33480074"/>
    <w:rsid w:val="33FD0205"/>
    <w:rsid w:val="35A178BD"/>
    <w:rsid w:val="453D18BD"/>
    <w:rsid w:val="4FD11529"/>
    <w:rsid w:val="61322ACD"/>
    <w:rsid w:val="6FE3114C"/>
    <w:rsid w:val="740162FF"/>
    <w:rsid w:val="7D231507"/>
    <w:rsid w:val="7D943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字符"/>
    <w:basedOn w:val="7"/>
    <w:link w:val="4"/>
    <w:uiPriority w:val="0"/>
    <w:rPr>
      <w:kern w:val="2"/>
      <w:sz w:val="18"/>
      <w:szCs w:val="18"/>
    </w:rPr>
  </w:style>
  <w:style w:type="character" w:customStyle="1" w:styleId="9">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998</Words>
  <Characters>1019</Characters>
  <Lines>8</Lines>
  <Paragraphs>2</Paragraphs>
  <TotalTime>3</TotalTime>
  <ScaleCrop>false</ScaleCrop>
  <LinksUpToDate>false</LinksUpToDate>
  <CharactersWithSpaces>1104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2023-05-04T08:15:00Z</dcterms:created>
  <dc:creator>Administrator</dc:creator>
  <cp:lastModifiedBy>方块李</cp:lastModifiedBy>
  <dcterms:modified xsi:type="dcterms:W3CDTF">2023-05-04T08:39:53Z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6C9D9E74084C4D009AA91696A57FB828_13</vt:lpwstr>
  </property>
</Properties>
</file>